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media/image5.jpg" ContentType="image/jpeg"/>
  <Override PartName="/word/media/image7.jpg" ContentType="image/jpe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AD7" w:rsidRDefault="00797BB4">
      <w:pPr>
        <w:pStyle w:val="Heading1"/>
        <w:rPr>
          <w:rStyle w:val="Emphasis"/>
          <w:rFonts w:ascii="Calibri" w:hAnsi="Calibri"/>
          <w:i w:val="0"/>
          <w:iCs w:val="0"/>
        </w:rPr>
      </w:pPr>
      <w:bookmarkStart w:id="0" w:name="_GoBack"/>
      <w:bookmarkEnd w:id="0"/>
      <w:r>
        <w:t>National biofouling management guidelines for commercial fishing vessels</w:t>
      </w:r>
    </w:p>
    <w:p w:rsidR="00236AD7" w:rsidRDefault="002245C0">
      <w:pPr>
        <w:pStyle w:val="Date"/>
        <w:rPr>
          <w:noProof/>
          <w:lang w:eastAsia="en-AU"/>
        </w:rPr>
      </w:pPr>
      <w:r>
        <w:t>Version 1.0</w:t>
      </w:r>
      <w:r w:rsidR="00797BB4">
        <w:t xml:space="preserve">, </w:t>
      </w:r>
      <w:r w:rsidR="00B41A7F">
        <w:t>2009</w:t>
      </w:r>
    </w:p>
    <w:p w:rsidR="00236AD7" w:rsidRDefault="00797BB4">
      <w:pPr>
        <w:pStyle w:val="Normalsmall"/>
      </w:pPr>
      <w:r>
        <w:rPr>
          <w:b/>
          <w:sz w:val="28"/>
          <w:szCs w:val="28"/>
          <w:lang w:val="es-ES"/>
        </w:rPr>
        <w:br w:type="page"/>
      </w:r>
      <w:r w:rsidR="00B41A7F">
        <w:lastRenderedPageBreak/>
        <w:t>© Commonwealth of Australia 2009</w:t>
      </w:r>
    </w:p>
    <w:p w:rsidR="00236AD7" w:rsidRDefault="00797BB4">
      <w:pPr>
        <w:pStyle w:val="Normalsmall"/>
        <w:rPr>
          <w:rStyle w:val="Strong"/>
        </w:rPr>
      </w:pPr>
      <w:r>
        <w:rPr>
          <w:rStyle w:val="Strong"/>
        </w:rPr>
        <w:t>Ownership of intellectual property rights</w:t>
      </w:r>
    </w:p>
    <w:p w:rsidR="00236AD7" w:rsidRDefault="00797BB4">
      <w:pPr>
        <w:pStyle w:val="Normalsmall"/>
      </w:pPr>
      <w:r>
        <w:t>Unless otherwise noted, copyright (and any other intellectual property rights, if any) in this publication is owned by the Commonwealth of Australia (referred to as the Commonwealth).</w:t>
      </w:r>
    </w:p>
    <w:p w:rsidR="00236AD7" w:rsidRDefault="00797BB4">
      <w:pPr>
        <w:pStyle w:val="Normalsmall"/>
        <w:rPr>
          <w:rStyle w:val="Strong"/>
        </w:rPr>
      </w:pPr>
      <w:r>
        <w:rPr>
          <w:rStyle w:val="Strong"/>
        </w:rPr>
        <w:t>Creative Commons licence</w:t>
      </w:r>
    </w:p>
    <w:p w:rsidR="00236AD7" w:rsidRDefault="00797BB4">
      <w:pPr>
        <w:pStyle w:val="Normalsmall"/>
      </w:pPr>
      <w:r>
        <w:t xml:space="preserve">All material in this publication is licensed under a Creative </w:t>
      </w:r>
      <w:hyperlink r:id="rId11" w:history="1">
        <w:r>
          <w:rPr>
            <w:rStyle w:val="Hyperlink"/>
          </w:rPr>
          <w:t>Commons Attribution 4.0 International Licence</w:t>
        </w:r>
      </w:hyperlink>
      <w:r>
        <w:t xml:space="preserve"> except content supplied by third parties, logos and the Commonwealth Coat of Arms.</w:t>
      </w:r>
    </w:p>
    <w:p w:rsidR="00236AD7" w:rsidRDefault="00797BB4">
      <w:pPr>
        <w:pStyle w:val="Normalsmall"/>
      </w:pPr>
      <w:r>
        <w:t xml:space="preserve">Inquiries about the licence and any use of this document should be emailed to </w:t>
      </w:r>
      <w:hyperlink r:id="rId12" w:history="1">
        <w:r>
          <w:rPr>
            <w:rStyle w:val="Hyperlink"/>
          </w:rPr>
          <w:t>copyright@agriculture.gov.au</w:t>
        </w:r>
      </w:hyperlink>
      <w:r>
        <w:t>.</w:t>
      </w:r>
    </w:p>
    <w:p w:rsidR="00236AD7" w:rsidRDefault="00797BB4">
      <w:pPr>
        <w:pStyle w:val="Normalsmall"/>
      </w:pPr>
      <w:r>
        <w:rPr>
          <w:noProof/>
          <w:lang w:eastAsia="en-AU"/>
        </w:rPr>
        <w:drawing>
          <wp:inline distT="0" distB="0" distL="0" distR="0">
            <wp:extent cx="724535" cy="255270"/>
            <wp:effectExtent l="19050" t="0" r="0" b="0"/>
            <wp:docPr id="3"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rsidR="00236AD7" w:rsidRDefault="00797BB4">
      <w:pPr>
        <w:pStyle w:val="Normalsmall"/>
        <w:rPr>
          <w:rStyle w:val="Strong"/>
        </w:rPr>
      </w:pPr>
      <w:r>
        <w:rPr>
          <w:rStyle w:val="Strong"/>
        </w:rPr>
        <w:t>Cataloguing data</w:t>
      </w:r>
    </w:p>
    <w:p w:rsidR="00236AD7" w:rsidRDefault="00797BB4">
      <w:pPr>
        <w:pStyle w:val="Normalsmall"/>
      </w:pPr>
      <w:r>
        <w:t xml:space="preserve">This publication (and any material sourced from it) should be attributed as: Marine Pest Sectoral Committee 2018, </w:t>
      </w:r>
      <w:r>
        <w:rPr>
          <w:rStyle w:val="Emphasis"/>
        </w:rPr>
        <w:t>National biofouling management guidelines for commercial fishing vessels,</w:t>
      </w:r>
      <w:r>
        <w:t xml:space="preserve"> Department of Agriculture and Water Resources, Canberra, November. CC BY 4.0.</w:t>
      </w:r>
      <w:r w:rsidR="002245C0">
        <w:t xml:space="preserve"> </w:t>
      </w:r>
      <w:r w:rsidR="002245C0" w:rsidRPr="00F96FDA">
        <w:t>Document modified in 2018 to meet accessibility requirements</w:t>
      </w:r>
      <w:r w:rsidR="002245C0">
        <w:t>.</w:t>
      </w:r>
    </w:p>
    <w:p w:rsidR="00236AD7" w:rsidRDefault="00797BB4">
      <w:pPr>
        <w:pStyle w:val="Normalsmall"/>
      </w:pPr>
      <w:r>
        <w:t xml:space="preserve">This publication is available at </w:t>
      </w:r>
      <w:hyperlink r:id="rId14" w:history="1">
        <w:r>
          <w:rPr>
            <w:rStyle w:val="Hyperlink"/>
          </w:rPr>
          <w:t>marinepests.gov.au/what-we-do/publications</w:t>
        </w:r>
      </w:hyperlink>
    </w:p>
    <w:p w:rsidR="00236AD7" w:rsidRDefault="00797BB4">
      <w:pPr>
        <w:pStyle w:val="Normalsmall"/>
        <w:spacing w:after="0"/>
      </w:pPr>
      <w:r>
        <w:t>Marine Pest Sectoral Committee Secretariat</w:t>
      </w:r>
    </w:p>
    <w:p w:rsidR="00236AD7" w:rsidRDefault="00797BB4">
      <w:pPr>
        <w:pStyle w:val="Normalsmall"/>
        <w:spacing w:after="0"/>
      </w:pPr>
      <w:r>
        <w:t>Department of Agriculture and Water Resources</w:t>
      </w:r>
    </w:p>
    <w:p w:rsidR="00236AD7" w:rsidRDefault="00797BB4">
      <w:pPr>
        <w:pStyle w:val="Normalsmall"/>
        <w:spacing w:after="0"/>
      </w:pPr>
      <w:r>
        <w:t>GPO 858 Canberra ACT 2601</w:t>
      </w:r>
    </w:p>
    <w:p w:rsidR="00236AD7" w:rsidRDefault="00797BB4">
      <w:pPr>
        <w:pStyle w:val="Normalsmall"/>
        <w:spacing w:after="0"/>
      </w:pPr>
      <w:r>
        <w:t>Telephone 1800 372 746 (local calls) +61 2 6272 5232 (international)</w:t>
      </w:r>
    </w:p>
    <w:p w:rsidR="00236AD7" w:rsidRDefault="00797BB4">
      <w:pPr>
        <w:pStyle w:val="Normalsmall"/>
        <w:spacing w:after="0"/>
      </w:pPr>
      <w:r>
        <w:t xml:space="preserve">Email </w:t>
      </w:r>
      <w:hyperlink r:id="rId15" w:history="1">
        <w:r>
          <w:rPr>
            <w:rStyle w:val="Hyperlink"/>
          </w:rPr>
          <w:t>mpsc@agriculture.gov.au</w:t>
        </w:r>
      </w:hyperlink>
    </w:p>
    <w:p w:rsidR="00236AD7" w:rsidRDefault="00797BB4">
      <w:pPr>
        <w:pStyle w:val="Normalsmall"/>
        <w:rPr>
          <w:rStyle w:val="Hyperlink"/>
        </w:rPr>
      </w:pPr>
      <w:r>
        <w:t xml:space="preserve">Web </w:t>
      </w:r>
      <w:hyperlink r:id="rId16" w:history="1">
        <w:r>
          <w:rPr>
            <w:rStyle w:val="Hyperlink"/>
          </w:rPr>
          <w:t>marinepests.gov.au</w:t>
        </w:r>
      </w:hyperlink>
    </w:p>
    <w:p w:rsidR="00236AD7" w:rsidRDefault="00797BB4">
      <w:pPr>
        <w:pStyle w:val="Normalsmall"/>
        <w:rPr>
          <w:rStyle w:val="Strong"/>
        </w:rPr>
      </w:pPr>
      <w:r>
        <w:rPr>
          <w:rStyle w:val="Strong"/>
        </w:rPr>
        <w:t>Disclaimer</w:t>
      </w:r>
    </w:p>
    <w:p w:rsidR="00236AD7" w:rsidRDefault="00797BB4">
      <w:pPr>
        <w:pStyle w:val="Normalsmall"/>
      </w:pPr>
      <w:r>
        <w:t>These guidelines are part of a series of documents setting out a consensus view of effective biofouling management practices.</w:t>
      </w:r>
    </w:p>
    <w:p w:rsidR="00236AD7" w:rsidRDefault="00797BB4">
      <w:pPr>
        <w:pStyle w:val="Normalsmall"/>
      </w:pPr>
      <w:r>
        <w:t>The guidelines are made available on the understanding that the Commonwealth of Australia is not thereby engaged in rendering professional advice. The Commonwealth does not warrant the accuracy, currency or completeness of the guidelines, or their relevance for any particular purpose. In particular, it should be noted that legislation, regulations and by-laws may vary between different jurisdictions and ports in Australia. Consequently, the guidelines do not purport to state what is necessary or sufficient to comply with laws applying in any place.</w:t>
      </w:r>
    </w:p>
    <w:p w:rsidR="00236AD7" w:rsidRDefault="00797BB4">
      <w:pPr>
        <w:pStyle w:val="Normalsmall"/>
      </w:pPr>
      <w:r>
        <w:t>Before relying on the guidelines in any important matter, users should obtain appropriate professional advice to evaluate their accuracy, currency, completeness and relevance for their purposes.</w:t>
      </w:r>
    </w:p>
    <w:p w:rsidR="00236AD7" w:rsidRDefault="00797BB4">
      <w:pPr>
        <w:spacing w:after="0" w:line="240" w:lineRule="auto"/>
        <w:rPr>
          <w:b/>
          <w:sz w:val="28"/>
          <w:szCs w:val="28"/>
          <w:lang w:val="es-ES"/>
        </w:rPr>
      </w:pPr>
      <w:r>
        <w:rPr>
          <w:b/>
          <w:sz w:val="28"/>
          <w:szCs w:val="28"/>
          <w:lang w:val="es-ES"/>
        </w:rP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rFonts w:asciiTheme="minorHAnsi" w:hAnsiTheme="minorHAnsi"/>
          <w:b/>
          <w:noProof/>
        </w:rPr>
      </w:sdtEndPr>
      <w:sdtContent>
        <w:p w:rsidR="00236AD7" w:rsidRDefault="00797BB4">
          <w:pPr>
            <w:pStyle w:val="TOCHeading"/>
          </w:pPr>
          <w:r>
            <w:t>Contents</w:t>
          </w:r>
        </w:p>
        <w:p w:rsidR="00236AD7" w:rsidRDefault="00797BB4">
          <w:pPr>
            <w:pStyle w:val="TOC1"/>
            <w:rPr>
              <w:rFonts w:eastAsiaTheme="minorEastAsia"/>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531771343" w:history="1">
            <w:r>
              <w:rPr>
                <w:rStyle w:val="Hyperlink"/>
              </w:rPr>
              <w:t>Introduction</w:t>
            </w:r>
            <w:r>
              <w:rPr>
                <w:webHidden/>
              </w:rPr>
              <w:tab/>
            </w:r>
            <w:r>
              <w:rPr>
                <w:webHidden/>
              </w:rPr>
              <w:fldChar w:fldCharType="begin"/>
            </w:r>
            <w:r>
              <w:rPr>
                <w:webHidden/>
              </w:rPr>
              <w:instrText xml:space="preserve"> PAGEREF _Toc531771343 \h </w:instrText>
            </w:r>
            <w:r>
              <w:rPr>
                <w:webHidden/>
              </w:rPr>
            </w:r>
            <w:r>
              <w:rPr>
                <w:webHidden/>
              </w:rPr>
              <w:fldChar w:fldCharType="separate"/>
            </w:r>
            <w:r w:rsidR="004B65A9">
              <w:rPr>
                <w:webHidden/>
              </w:rPr>
              <w:t>1</w:t>
            </w:r>
            <w:r>
              <w:rPr>
                <w:webHidden/>
              </w:rPr>
              <w:fldChar w:fldCharType="end"/>
            </w:r>
          </w:hyperlink>
        </w:p>
        <w:p w:rsidR="00236AD7" w:rsidRDefault="004B65A9">
          <w:pPr>
            <w:pStyle w:val="TOC1"/>
            <w:rPr>
              <w:rFonts w:eastAsiaTheme="minorEastAsia"/>
              <w:b w:val="0"/>
              <w:lang w:eastAsia="en-AU"/>
            </w:rPr>
          </w:pPr>
          <w:hyperlink w:anchor="_Toc531771344" w:history="1">
            <w:r w:rsidR="00797BB4">
              <w:rPr>
                <w:rStyle w:val="Hyperlink"/>
              </w:rPr>
              <w:t>1</w:t>
            </w:r>
            <w:r w:rsidR="00797BB4">
              <w:rPr>
                <w:rFonts w:eastAsiaTheme="minorEastAsia"/>
                <w:b w:val="0"/>
                <w:lang w:eastAsia="en-AU"/>
              </w:rPr>
              <w:tab/>
            </w:r>
            <w:r w:rsidR="00797BB4">
              <w:rPr>
                <w:rStyle w:val="Hyperlink"/>
              </w:rPr>
              <w:t>Vessel maintenance</w:t>
            </w:r>
            <w:r w:rsidR="00797BB4">
              <w:rPr>
                <w:webHidden/>
              </w:rPr>
              <w:tab/>
            </w:r>
            <w:r w:rsidR="00797BB4">
              <w:rPr>
                <w:webHidden/>
              </w:rPr>
              <w:fldChar w:fldCharType="begin"/>
            </w:r>
            <w:r w:rsidR="00797BB4">
              <w:rPr>
                <w:webHidden/>
              </w:rPr>
              <w:instrText xml:space="preserve"> PAGEREF _Toc531771344 \h </w:instrText>
            </w:r>
            <w:r w:rsidR="00797BB4">
              <w:rPr>
                <w:webHidden/>
              </w:rPr>
            </w:r>
            <w:r w:rsidR="00797BB4">
              <w:rPr>
                <w:webHidden/>
              </w:rPr>
              <w:fldChar w:fldCharType="separate"/>
            </w:r>
            <w:r>
              <w:rPr>
                <w:webHidden/>
              </w:rPr>
              <w:t>2</w:t>
            </w:r>
            <w:r w:rsidR="00797BB4">
              <w:rPr>
                <w:webHidden/>
              </w:rPr>
              <w:fldChar w:fldCharType="end"/>
            </w:r>
          </w:hyperlink>
        </w:p>
        <w:p w:rsidR="00236AD7" w:rsidRDefault="004B65A9">
          <w:pPr>
            <w:pStyle w:val="TOC2"/>
            <w:tabs>
              <w:tab w:val="left" w:pos="1100"/>
            </w:tabs>
            <w:rPr>
              <w:rFonts w:eastAsiaTheme="minorEastAsia"/>
              <w:lang w:eastAsia="en-AU"/>
            </w:rPr>
          </w:pPr>
          <w:hyperlink w:anchor="_Toc531771345" w:history="1">
            <w:r w:rsidR="00797BB4">
              <w:rPr>
                <w:rStyle w:val="Hyperlink"/>
                <w:lang w:eastAsia="ja-JP"/>
              </w:rPr>
              <w:t>1.1</w:t>
            </w:r>
            <w:r w:rsidR="00797BB4">
              <w:rPr>
                <w:rFonts w:eastAsiaTheme="minorEastAsia"/>
                <w:lang w:eastAsia="en-AU"/>
              </w:rPr>
              <w:tab/>
            </w:r>
            <w:r w:rsidR="00797BB4">
              <w:rPr>
                <w:rStyle w:val="Hyperlink"/>
                <w:lang w:eastAsia="ja-JP"/>
              </w:rPr>
              <w:t>Maintaining trailered vessels onshore</w:t>
            </w:r>
            <w:r w:rsidR="00797BB4">
              <w:rPr>
                <w:webHidden/>
              </w:rPr>
              <w:tab/>
            </w:r>
            <w:r w:rsidR="00797BB4">
              <w:rPr>
                <w:webHidden/>
              </w:rPr>
              <w:fldChar w:fldCharType="begin"/>
            </w:r>
            <w:r w:rsidR="00797BB4">
              <w:rPr>
                <w:webHidden/>
              </w:rPr>
              <w:instrText xml:space="preserve"> PAGEREF _Toc531771345 \h </w:instrText>
            </w:r>
            <w:r w:rsidR="00797BB4">
              <w:rPr>
                <w:webHidden/>
              </w:rPr>
            </w:r>
            <w:r w:rsidR="00797BB4">
              <w:rPr>
                <w:webHidden/>
              </w:rPr>
              <w:fldChar w:fldCharType="separate"/>
            </w:r>
            <w:r>
              <w:rPr>
                <w:webHidden/>
              </w:rPr>
              <w:t>2</w:t>
            </w:r>
            <w:r w:rsidR="00797BB4">
              <w:rPr>
                <w:webHidden/>
              </w:rPr>
              <w:fldChar w:fldCharType="end"/>
            </w:r>
          </w:hyperlink>
        </w:p>
        <w:p w:rsidR="00236AD7" w:rsidRDefault="004B65A9">
          <w:pPr>
            <w:pStyle w:val="TOC2"/>
            <w:tabs>
              <w:tab w:val="left" w:pos="1100"/>
            </w:tabs>
            <w:rPr>
              <w:rFonts w:eastAsiaTheme="minorEastAsia"/>
              <w:lang w:eastAsia="en-AU"/>
            </w:rPr>
          </w:pPr>
          <w:hyperlink w:anchor="_Toc531771346" w:history="1">
            <w:r w:rsidR="00797BB4">
              <w:rPr>
                <w:rStyle w:val="Hyperlink"/>
                <w:lang w:eastAsia="ja-JP"/>
              </w:rPr>
              <w:t>1.2</w:t>
            </w:r>
            <w:r w:rsidR="00797BB4">
              <w:rPr>
                <w:rFonts w:eastAsiaTheme="minorEastAsia"/>
                <w:lang w:eastAsia="en-AU"/>
              </w:rPr>
              <w:tab/>
            </w:r>
            <w:r w:rsidR="00797BB4">
              <w:rPr>
                <w:rStyle w:val="Hyperlink"/>
                <w:lang w:eastAsia="ja-JP"/>
              </w:rPr>
              <w:t>Maintaining non-trailered vessels</w:t>
            </w:r>
            <w:r w:rsidR="00797BB4">
              <w:rPr>
                <w:webHidden/>
              </w:rPr>
              <w:tab/>
            </w:r>
            <w:r w:rsidR="00797BB4">
              <w:rPr>
                <w:webHidden/>
              </w:rPr>
              <w:fldChar w:fldCharType="begin"/>
            </w:r>
            <w:r w:rsidR="00797BB4">
              <w:rPr>
                <w:webHidden/>
              </w:rPr>
              <w:instrText xml:space="preserve"> PAGEREF _Toc531771346 \h </w:instrText>
            </w:r>
            <w:r w:rsidR="00797BB4">
              <w:rPr>
                <w:webHidden/>
              </w:rPr>
            </w:r>
            <w:r w:rsidR="00797BB4">
              <w:rPr>
                <w:webHidden/>
              </w:rPr>
              <w:fldChar w:fldCharType="separate"/>
            </w:r>
            <w:r>
              <w:rPr>
                <w:webHidden/>
              </w:rPr>
              <w:t>2</w:t>
            </w:r>
            <w:r w:rsidR="00797BB4">
              <w:rPr>
                <w:webHidden/>
              </w:rPr>
              <w:fldChar w:fldCharType="end"/>
            </w:r>
          </w:hyperlink>
        </w:p>
        <w:p w:rsidR="00236AD7" w:rsidRDefault="004B65A9">
          <w:pPr>
            <w:pStyle w:val="TOC2"/>
            <w:tabs>
              <w:tab w:val="left" w:pos="1100"/>
            </w:tabs>
            <w:rPr>
              <w:rFonts w:eastAsiaTheme="minorEastAsia"/>
              <w:lang w:eastAsia="en-AU"/>
            </w:rPr>
          </w:pPr>
          <w:hyperlink w:anchor="_Toc531771347" w:history="1">
            <w:r w:rsidR="00797BB4">
              <w:rPr>
                <w:rStyle w:val="Hyperlink"/>
                <w:lang w:eastAsia="ja-JP"/>
              </w:rPr>
              <w:t>1.3</w:t>
            </w:r>
            <w:r w:rsidR="00797BB4">
              <w:rPr>
                <w:rFonts w:eastAsiaTheme="minorEastAsia"/>
                <w:lang w:eastAsia="en-AU"/>
              </w:rPr>
              <w:tab/>
            </w:r>
            <w:r w:rsidR="00797BB4">
              <w:rPr>
                <w:rStyle w:val="Hyperlink"/>
                <w:lang w:eastAsia="ja-JP"/>
              </w:rPr>
              <w:t>Hull protection</w:t>
            </w:r>
            <w:r w:rsidR="00797BB4">
              <w:rPr>
                <w:webHidden/>
              </w:rPr>
              <w:tab/>
            </w:r>
            <w:r w:rsidR="00797BB4">
              <w:rPr>
                <w:webHidden/>
              </w:rPr>
              <w:fldChar w:fldCharType="begin"/>
            </w:r>
            <w:r w:rsidR="00797BB4">
              <w:rPr>
                <w:webHidden/>
              </w:rPr>
              <w:instrText xml:space="preserve"> PAGEREF _Toc531771347 \h </w:instrText>
            </w:r>
            <w:r w:rsidR="00797BB4">
              <w:rPr>
                <w:webHidden/>
              </w:rPr>
            </w:r>
            <w:r w:rsidR="00797BB4">
              <w:rPr>
                <w:webHidden/>
              </w:rPr>
              <w:fldChar w:fldCharType="separate"/>
            </w:r>
            <w:r>
              <w:rPr>
                <w:webHidden/>
              </w:rPr>
              <w:t>4</w:t>
            </w:r>
            <w:r w:rsidR="00797BB4">
              <w:rPr>
                <w:webHidden/>
              </w:rPr>
              <w:fldChar w:fldCharType="end"/>
            </w:r>
          </w:hyperlink>
        </w:p>
        <w:p w:rsidR="00236AD7" w:rsidRDefault="004B65A9">
          <w:pPr>
            <w:pStyle w:val="TOC1"/>
            <w:rPr>
              <w:rFonts w:eastAsiaTheme="minorEastAsia"/>
              <w:b w:val="0"/>
              <w:lang w:eastAsia="en-AU"/>
            </w:rPr>
          </w:pPr>
          <w:hyperlink w:anchor="_Toc531771348" w:history="1">
            <w:r w:rsidR="00797BB4">
              <w:rPr>
                <w:rStyle w:val="Hyperlink"/>
              </w:rPr>
              <w:t>2</w:t>
            </w:r>
            <w:r w:rsidR="00797BB4">
              <w:rPr>
                <w:rFonts w:eastAsiaTheme="minorEastAsia"/>
                <w:b w:val="0"/>
                <w:lang w:eastAsia="en-AU"/>
              </w:rPr>
              <w:tab/>
            </w:r>
            <w:r w:rsidR="00797BB4">
              <w:rPr>
                <w:rStyle w:val="Hyperlink"/>
              </w:rPr>
              <w:t>Vessel operations</w:t>
            </w:r>
            <w:r w:rsidR="00797BB4">
              <w:rPr>
                <w:webHidden/>
              </w:rPr>
              <w:tab/>
            </w:r>
            <w:r w:rsidR="00797BB4">
              <w:rPr>
                <w:webHidden/>
              </w:rPr>
              <w:fldChar w:fldCharType="begin"/>
            </w:r>
            <w:r w:rsidR="00797BB4">
              <w:rPr>
                <w:webHidden/>
              </w:rPr>
              <w:instrText xml:space="preserve"> PAGEREF _Toc531771348 \h </w:instrText>
            </w:r>
            <w:r w:rsidR="00797BB4">
              <w:rPr>
                <w:webHidden/>
              </w:rPr>
            </w:r>
            <w:r w:rsidR="00797BB4">
              <w:rPr>
                <w:webHidden/>
              </w:rPr>
              <w:fldChar w:fldCharType="separate"/>
            </w:r>
            <w:r>
              <w:rPr>
                <w:webHidden/>
              </w:rPr>
              <w:t>6</w:t>
            </w:r>
            <w:r w:rsidR="00797BB4">
              <w:rPr>
                <w:webHidden/>
              </w:rPr>
              <w:fldChar w:fldCharType="end"/>
            </w:r>
          </w:hyperlink>
        </w:p>
        <w:p w:rsidR="00236AD7" w:rsidRDefault="004B65A9">
          <w:pPr>
            <w:pStyle w:val="TOC2"/>
            <w:tabs>
              <w:tab w:val="left" w:pos="1100"/>
            </w:tabs>
            <w:rPr>
              <w:rFonts w:eastAsiaTheme="minorEastAsia"/>
              <w:lang w:eastAsia="en-AU"/>
            </w:rPr>
          </w:pPr>
          <w:hyperlink w:anchor="_Toc531771349" w:history="1">
            <w:r w:rsidR="00797BB4">
              <w:rPr>
                <w:rStyle w:val="Hyperlink"/>
                <w:lang w:eastAsia="ja-JP"/>
              </w:rPr>
              <w:t>2.1</w:t>
            </w:r>
            <w:r w:rsidR="00797BB4">
              <w:rPr>
                <w:rFonts w:eastAsiaTheme="minorEastAsia"/>
                <w:lang w:eastAsia="en-AU"/>
              </w:rPr>
              <w:tab/>
            </w:r>
            <w:r w:rsidR="00797BB4">
              <w:rPr>
                <w:rStyle w:val="Hyperlink"/>
                <w:lang w:eastAsia="ja-JP"/>
              </w:rPr>
              <w:t>Normal deck activities</w:t>
            </w:r>
            <w:r w:rsidR="00797BB4">
              <w:rPr>
                <w:webHidden/>
              </w:rPr>
              <w:tab/>
            </w:r>
            <w:r w:rsidR="00797BB4">
              <w:rPr>
                <w:webHidden/>
              </w:rPr>
              <w:fldChar w:fldCharType="begin"/>
            </w:r>
            <w:r w:rsidR="00797BB4">
              <w:rPr>
                <w:webHidden/>
              </w:rPr>
              <w:instrText xml:space="preserve"> PAGEREF _Toc531771349 \h </w:instrText>
            </w:r>
            <w:r w:rsidR="00797BB4">
              <w:rPr>
                <w:webHidden/>
              </w:rPr>
            </w:r>
            <w:r w:rsidR="00797BB4">
              <w:rPr>
                <w:webHidden/>
              </w:rPr>
              <w:fldChar w:fldCharType="separate"/>
            </w:r>
            <w:r>
              <w:rPr>
                <w:webHidden/>
              </w:rPr>
              <w:t>6</w:t>
            </w:r>
            <w:r w:rsidR="00797BB4">
              <w:rPr>
                <w:webHidden/>
              </w:rPr>
              <w:fldChar w:fldCharType="end"/>
            </w:r>
          </w:hyperlink>
        </w:p>
        <w:p w:rsidR="00236AD7" w:rsidRDefault="004B65A9">
          <w:pPr>
            <w:pStyle w:val="TOC2"/>
            <w:tabs>
              <w:tab w:val="left" w:pos="1100"/>
            </w:tabs>
            <w:rPr>
              <w:rFonts w:eastAsiaTheme="minorEastAsia"/>
              <w:lang w:eastAsia="en-AU"/>
            </w:rPr>
          </w:pPr>
          <w:hyperlink w:anchor="_Toc531771350" w:history="1">
            <w:r w:rsidR="00797BB4">
              <w:rPr>
                <w:rStyle w:val="Hyperlink"/>
                <w:lang w:eastAsia="ja-JP"/>
              </w:rPr>
              <w:t>2.2</w:t>
            </w:r>
            <w:r w:rsidR="00797BB4">
              <w:rPr>
                <w:rFonts w:eastAsiaTheme="minorEastAsia"/>
                <w:lang w:eastAsia="en-AU"/>
              </w:rPr>
              <w:tab/>
            </w:r>
            <w:r w:rsidR="00797BB4">
              <w:rPr>
                <w:rStyle w:val="Hyperlink"/>
                <w:lang w:eastAsia="ja-JP"/>
              </w:rPr>
              <w:t>During fishing activities</w:t>
            </w:r>
            <w:r w:rsidR="00797BB4">
              <w:rPr>
                <w:webHidden/>
              </w:rPr>
              <w:tab/>
            </w:r>
            <w:r w:rsidR="00797BB4">
              <w:rPr>
                <w:webHidden/>
              </w:rPr>
              <w:fldChar w:fldCharType="begin"/>
            </w:r>
            <w:r w:rsidR="00797BB4">
              <w:rPr>
                <w:webHidden/>
              </w:rPr>
              <w:instrText xml:space="preserve"> PAGEREF _Toc531771350 \h </w:instrText>
            </w:r>
            <w:r w:rsidR="00797BB4">
              <w:rPr>
                <w:webHidden/>
              </w:rPr>
            </w:r>
            <w:r w:rsidR="00797BB4">
              <w:rPr>
                <w:webHidden/>
              </w:rPr>
              <w:fldChar w:fldCharType="separate"/>
            </w:r>
            <w:r>
              <w:rPr>
                <w:webHidden/>
              </w:rPr>
              <w:t>7</w:t>
            </w:r>
            <w:r w:rsidR="00797BB4">
              <w:rPr>
                <w:webHidden/>
              </w:rPr>
              <w:fldChar w:fldCharType="end"/>
            </w:r>
          </w:hyperlink>
        </w:p>
        <w:p w:rsidR="00236AD7" w:rsidRDefault="004B65A9">
          <w:pPr>
            <w:pStyle w:val="TOC2"/>
            <w:tabs>
              <w:tab w:val="left" w:pos="1100"/>
            </w:tabs>
            <w:rPr>
              <w:rFonts w:eastAsiaTheme="minorEastAsia"/>
              <w:lang w:eastAsia="en-AU"/>
            </w:rPr>
          </w:pPr>
          <w:hyperlink w:anchor="_Toc531771351" w:history="1">
            <w:r w:rsidR="00797BB4">
              <w:rPr>
                <w:rStyle w:val="Hyperlink"/>
                <w:lang w:eastAsia="ja-JP"/>
              </w:rPr>
              <w:t>2.3</w:t>
            </w:r>
            <w:r w:rsidR="00797BB4">
              <w:rPr>
                <w:rFonts w:eastAsiaTheme="minorEastAsia"/>
                <w:lang w:eastAsia="en-AU"/>
              </w:rPr>
              <w:tab/>
            </w:r>
            <w:r w:rsidR="00797BB4">
              <w:rPr>
                <w:rStyle w:val="Hyperlink"/>
                <w:lang w:eastAsia="ja-JP"/>
              </w:rPr>
              <w:t>Managing live tanks and well ballast systems</w:t>
            </w:r>
            <w:r w:rsidR="00797BB4">
              <w:rPr>
                <w:webHidden/>
              </w:rPr>
              <w:tab/>
            </w:r>
            <w:r w:rsidR="00797BB4">
              <w:rPr>
                <w:webHidden/>
              </w:rPr>
              <w:fldChar w:fldCharType="begin"/>
            </w:r>
            <w:r w:rsidR="00797BB4">
              <w:rPr>
                <w:webHidden/>
              </w:rPr>
              <w:instrText xml:space="preserve"> PAGEREF _Toc531771351 \h </w:instrText>
            </w:r>
            <w:r w:rsidR="00797BB4">
              <w:rPr>
                <w:webHidden/>
              </w:rPr>
            </w:r>
            <w:r w:rsidR="00797BB4">
              <w:rPr>
                <w:webHidden/>
              </w:rPr>
              <w:fldChar w:fldCharType="separate"/>
            </w:r>
            <w:r>
              <w:rPr>
                <w:webHidden/>
              </w:rPr>
              <w:t>7</w:t>
            </w:r>
            <w:r w:rsidR="00797BB4">
              <w:rPr>
                <w:webHidden/>
              </w:rPr>
              <w:fldChar w:fldCharType="end"/>
            </w:r>
          </w:hyperlink>
        </w:p>
        <w:p w:rsidR="00236AD7" w:rsidRDefault="004B65A9">
          <w:pPr>
            <w:pStyle w:val="TOC1"/>
            <w:rPr>
              <w:rFonts w:eastAsiaTheme="minorEastAsia"/>
              <w:b w:val="0"/>
              <w:lang w:eastAsia="en-AU"/>
            </w:rPr>
          </w:pPr>
          <w:hyperlink w:anchor="_Toc531771352" w:history="1">
            <w:r w:rsidR="00797BB4">
              <w:rPr>
                <w:rStyle w:val="Hyperlink"/>
              </w:rPr>
              <w:t>3</w:t>
            </w:r>
            <w:r w:rsidR="00797BB4">
              <w:rPr>
                <w:rFonts w:eastAsiaTheme="minorEastAsia"/>
                <w:b w:val="0"/>
                <w:lang w:eastAsia="en-AU"/>
              </w:rPr>
              <w:tab/>
            </w:r>
            <w:r w:rsidR="00797BB4">
              <w:rPr>
                <w:rStyle w:val="Hyperlink"/>
              </w:rPr>
              <w:t>Reporting and emergency responses</w:t>
            </w:r>
            <w:r w:rsidR="00797BB4">
              <w:rPr>
                <w:webHidden/>
              </w:rPr>
              <w:tab/>
            </w:r>
            <w:r w:rsidR="00797BB4">
              <w:rPr>
                <w:webHidden/>
              </w:rPr>
              <w:fldChar w:fldCharType="begin"/>
            </w:r>
            <w:r w:rsidR="00797BB4">
              <w:rPr>
                <w:webHidden/>
              </w:rPr>
              <w:instrText xml:space="preserve"> PAGEREF _Toc531771352 \h </w:instrText>
            </w:r>
            <w:r w:rsidR="00797BB4">
              <w:rPr>
                <w:webHidden/>
              </w:rPr>
            </w:r>
            <w:r w:rsidR="00797BB4">
              <w:rPr>
                <w:webHidden/>
              </w:rPr>
              <w:fldChar w:fldCharType="separate"/>
            </w:r>
            <w:r>
              <w:rPr>
                <w:webHidden/>
              </w:rPr>
              <w:t>8</w:t>
            </w:r>
            <w:r w:rsidR="00797BB4">
              <w:rPr>
                <w:webHidden/>
              </w:rPr>
              <w:fldChar w:fldCharType="end"/>
            </w:r>
          </w:hyperlink>
        </w:p>
        <w:p w:rsidR="00236AD7" w:rsidRDefault="004B65A9">
          <w:pPr>
            <w:pStyle w:val="TOC2"/>
            <w:tabs>
              <w:tab w:val="left" w:pos="1100"/>
            </w:tabs>
            <w:rPr>
              <w:rFonts w:eastAsiaTheme="minorEastAsia"/>
              <w:lang w:eastAsia="en-AU"/>
            </w:rPr>
          </w:pPr>
          <w:hyperlink w:anchor="_Toc531771353" w:history="1">
            <w:r w:rsidR="00797BB4">
              <w:rPr>
                <w:rStyle w:val="Hyperlink"/>
                <w:lang w:eastAsia="ja-JP"/>
              </w:rPr>
              <w:t>3.1</w:t>
            </w:r>
            <w:r w:rsidR="00797BB4">
              <w:rPr>
                <w:rFonts w:eastAsiaTheme="minorEastAsia"/>
                <w:lang w:eastAsia="en-AU"/>
              </w:rPr>
              <w:tab/>
            </w:r>
            <w:r w:rsidR="00797BB4">
              <w:rPr>
                <w:rStyle w:val="Hyperlink"/>
                <w:lang w:eastAsia="ja-JP"/>
              </w:rPr>
              <w:t>Emergency pest outbreaks</w:t>
            </w:r>
            <w:r w:rsidR="00797BB4">
              <w:rPr>
                <w:webHidden/>
              </w:rPr>
              <w:tab/>
            </w:r>
            <w:r w:rsidR="00797BB4">
              <w:rPr>
                <w:webHidden/>
              </w:rPr>
              <w:fldChar w:fldCharType="begin"/>
            </w:r>
            <w:r w:rsidR="00797BB4">
              <w:rPr>
                <w:webHidden/>
              </w:rPr>
              <w:instrText xml:space="preserve"> PAGEREF _Toc531771353 \h </w:instrText>
            </w:r>
            <w:r w:rsidR="00797BB4">
              <w:rPr>
                <w:webHidden/>
              </w:rPr>
            </w:r>
            <w:r w:rsidR="00797BB4">
              <w:rPr>
                <w:webHidden/>
              </w:rPr>
              <w:fldChar w:fldCharType="separate"/>
            </w:r>
            <w:r>
              <w:rPr>
                <w:webHidden/>
              </w:rPr>
              <w:t>8</w:t>
            </w:r>
            <w:r w:rsidR="00797BB4">
              <w:rPr>
                <w:webHidden/>
              </w:rPr>
              <w:fldChar w:fldCharType="end"/>
            </w:r>
          </w:hyperlink>
        </w:p>
        <w:p w:rsidR="00236AD7" w:rsidRDefault="004B65A9">
          <w:pPr>
            <w:pStyle w:val="TOC2"/>
            <w:tabs>
              <w:tab w:val="left" w:pos="1100"/>
            </w:tabs>
            <w:rPr>
              <w:rFonts w:eastAsiaTheme="minorEastAsia"/>
              <w:lang w:eastAsia="en-AU"/>
            </w:rPr>
          </w:pPr>
          <w:hyperlink w:anchor="_Toc531771354" w:history="1">
            <w:r w:rsidR="00797BB4">
              <w:rPr>
                <w:rStyle w:val="Hyperlink"/>
                <w:lang w:eastAsia="ja-JP"/>
              </w:rPr>
              <w:t>3.2</w:t>
            </w:r>
            <w:r w:rsidR="00797BB4">
              <w:rPr>
                <w:rFonts w:eastAsiaTheme="minorEastAsia"/>
                <w:lang w:eastAsia="en-AU"/>
              </w:rPr>
              <w:tab/>
            </w:r>
            <w:r w:rsidR="00797BB4">
              <w:rPr>
                <w:rStyle w:val="Hyperlink"/>
                <w:lang w:eastAsia="ja-JP"/>
              </w:rPr>
              <w:t>Reporting interactions with marine pests</w:t>
            </w:r>
            <w:r w:rsidR="00797BB4">
              <w:rPr>
                <w:webHidden/>
              </w:rPr>
              <w:tab/>
            </w:r>
            <w:r w:rsidR="00797BB4">
              <w:rPr>
                <w:webHidden/>
              </w:rPr>
              <w:fldChar w:fldCharType="begin"/>
            </w:r>
            <w:r w:rsidR="00797BB4">
              <w:rPr>
                <w:webHidden/>
              </w:rPr>
              <w:instrText xml:space="preserve"> PAGEREF _Toc531771354 \h </w:instrText>
            </w:r>
            <w:r w:rsidR="00797BB4">
              <w:rPr>
                <w:webHidden/>
              </w:rPr>
            </w:r>
            <w:r w:rsidR="00797BB4">
              <w:rPr>
                <w:webHidden/>
              </w:rPr>
              <w:fldChar w:fldCharType="separate"/>
            </w:r>
            <w:r>
              <w:rPr>
                <w:webHidden/>
              </w:rPr>
              <w:t>8</w:t>
            </w:r>
            <w:r w:rsidR="00797BB4">
              <w:rPr>
                <w:webHidden/>
              </w:rPr>
              <w:fldChar w:fldCharType="end"/>
            </w:r>
          </w:hyperlink>
        </w:p>
        <w:p w:rsidR="00236AD7" w:rsidRDefault="004B65A9">
          <w:pPr>
            <w:pStyle w:val="TOC1"/>
            <w:rPr>
              <w:rFonts w:eastAsiaTheme="minorEastAsia"/>
              <w:b w:val="0"/>
              <w:lang w:eastAsia="en-AU"/>
            </w:rPr>
          </w:pPr>
          <w:hyperlink w:anchor="_Toc531771355" w:history="1">
            <w:r w:rsidR="00797BB4">
              <w:rPr>
                <w:rStyle w:val="Hyperlink"/>
              </w:rPr>
              <w:t>Glossary</w:t>
            </w:r>
            <w:r w:rsidR="00797BB4">
              <w:rPr>
                <w:webHidden/>
              </w:rPr>
              <w:tab/>
            </w:r>
            <w:r w:rsidR="00797BB4">
              <w:rPr>
                <w:webHidden/>
              </w:rPr>
              <w:fldChar w:fldCharType="begin"/>
            </w:r>
            <w:r w:rsidR="00797BB4">
              <w:rPr>
                <w:webHidden/>
              </w:rPr>
              <w:instrText xml:space="preserve"> PAGEREF _Toc531771355 \h </w:instrText>
            </w:r>
            <w:r w:rsidR="00797BB4">
              <w:rPr>
                <w:webHidden/>
              </w:rPr>
            </w:r>
            <w:r w:rsidR="00797BB4">
              <w:rPr>
                <w:webHidden/>
              </w:rPr>
              <w:fldChar w:fldCharType="separate"/>
            </w:r>
            <w:r>
              <w:rPr>
                <w:webHidden/>
              </w:rPr>
              <w:t>9</w:t>
            </w:r>
            <w:r w:rsidR="00797BB4">
              <w:rPr>
                <w:webHidden/>
              </w:rPr>
              <w:fldChar w:fldCharType="end"/>
            </w:r>
          </w:hyperlink>
        </w:p>
        <w:p w:rsidR="00236AD7" w:rsidRDefault="004B65A9">
          <w:pPr>
            <w:pStyle w:val="TOC1"/>
            <w:rPr>
              <w:rFonts w:eastAsiaTheme="minorEastAsia"/>
              <w:b w:val="0"/>
              <w:lang w:eastAsia="en-AU"/>
            </w:rPr>
          </w:pPr>
          <w:hyperlink w:anchor="_Toc531771356" w:history="1">
            <w:r w:rsidR="00797BB4">
              <w:rPr>
                <w:rStyle w:val="Hyperlink"/>
              </w:rPr>
              <w:t>Contacts</w:t>
            </w:r>
            <w:r w:rsidR="00797BB4">
              <w:rPr>
                <w:webHidden/>
              </w:rPr>
              <w:tab/>
            </w:r>
            <w:r w:rsidR="00797BB4">
              <w:rPr>
                <w:webHidden/>
              </w:rPr>
              <w:fldChar w:fldCharType="begin"/>
            </w:r>
            <w:r w:rsidR="00797BB4">
              <w:rPr>
                <w:webHidden/>
              </w:rPr>
              <w:instrText xml:space="preserve"> PAGEREF _Toc531771356 \h </w:instrText>
            </w:r>
            <w:r w:rsidR="00797BB4">
              <w:rPr>
                <w:webHidden/>
              </w:rPr>
            </w:r>
            <w:r w:rsidR="00797BB4">
              <w:rPr>
                <w:webHidden/>
              </w:rPr>
              <w:fldChar w:fldCharType="separate"/>
            </w:r>
            <w:r>
              <w:rPr>
                <w:webHidden/>
              </w:rPr>
              <w:t>9</w:t>
            </w:r>
            <w:r w:rsidR="00797BB4">
              <w:rPr>
                <w:webHidden/>
              </w:rPr>
              <w:fldChar w:fldCharType="end"/>
            </w:r>
          </w:hyperlink>
        </w:p>
        <w:p w:rsidR="00236AD7" w:rsidRDefault="00797BB4">
          <w:r>
            <w:rPr>
              <w:b/>
              <w:noProof/>
            </w:rPr>
            <w:fldChar w:fldCharType="end"/>
          </w:r>
        </w:p>
      </w:sdtContent>
    </w:sdt>
    <w:p w:rsidR="00236AD7" w:rsidRDefault="00797BB4">
      <w:pPr>
        <w:pStyle w:val="TOCHeading2"/>
        <w:rPr>
          <w:rStyle w:val="Strong"/>
        </w:rPr>
      </w:pPr>
      <w:r>
        <w:rPr>
          <w:rStyle w:val="Strong"/>
        </w:rPr>
        <w:t>Figures</w:t>
      </w:r>
    </w:p>
    <w:p w:rsidR="00236AD7" w:rsidRDefault="00797BB4">
      <w:pPr>
        <w:pStyle w:val="TableofFigures"/>
        <w:tabs>
          <w:tab w:val="right" w:leader="dot" w:pos="9060"/>
        </w:tabs>
        <w:rPr>
          <w:rFonts w:eastAsiaTheme="minorEastAsia"/>
          <w:noProof/>
          <w:lang w:eastAsia="en-AU"/>
        </w:rPr>
      </w:pPr>
      <w:r>
        <w:fldChar w:fldCharType="begin"/>
      </w:r>
      <w:r>
        <w:instrText xml:space="preserve"> TOC \h \z \c "Figure" </w:instrText>
      </w:r>
      <w:r>
        <w:fldChar w:fldCharType="separate"/>
      </w:r>
      <w:hyperlink w:anchor="_Toc531771359" w:history="1">
        <w:r>
          <w:rPr>
            <w:rStyle w:val="Hyperlink"/>
            <w:noProof/>
          </w:rPr>
          <w:t>Figure 1 Niche areas where biofouling can accumulate on a commercial fishing vessel</w:t>
        </w:r>
        <w:r>
          <w:rPr>
            <w:noProof/>
            <w:webHidden/>
          </w:rPr>
          <w:tab/>
        </w:r>
        <w:r>
          <w:rPr>
            <w:noProof/>
            <w:webHidden/>
          </w:rPr>
          <w:fldChar w:fldCharType="begin"/>
        </w:r>
        <w:r>
          <w:rPr>
            <w:noProof/>
            <w:webHidden/>
          </w:rPr>
          <w:instrText xml:space="preserve"> PAGEREF _Toc531771359 \h </w:instrText>
        </w:r>
        <w:r>
          <w:rPr>
            <w:noProof/>
            <w:webHidden/>
          </w:rPr>
        </w:r>
        <w:r>
          <w:rPr>
            <w:noProof/>
            <w:webHidden/>
          </w:rPr>
          <w:fldChar w:fldCharType="separate"/>
        </w:r>
        <w:r w:rsidR="004B65A9">
          <w:rPr>
            <w:noProof/>
            <w:webHidden/>
          </w:rPr>
          <w:t>3</w:t>
        </w:r>
        <w:r>
          <w:rPr>
            <w:noProof/>
            <w:webHidden/>
          </w:rPr>
          <w:fldChar w:fldCharType="end"/>
        </w:r>
      </w:hyperlink>
    </w:p>
    <w:p w:rsidR="00236AD7" w:rsidRDefault="00797BB4">
      <w:r>
        <w:fldChar w:fldCharType="end"/>
      </w:r>
    </w:p>
    <w:p w:rsidR="00236AD7" w:rsidRDefault="00797BB4">
      <w:pPr>
        <w:pStyle w:val="TOCHeading2"/>
        <w:rPr>
          <w:rStyle w:val="Strong"/>
        </w:rPr>
      </w:pPr>
      <w:r>
        <w:rPr>
          <w:rStyle w:val="Strong"/>
        </w:rPr>
        <w:t>Photos</w:t>
      </w:r>
    </w:p>
    <w:p w:rsidR="00236AD7" w:rsidRDefault="00797BB4">
      <w:pPr>
        <w:pStyle w:val="TableofFigures"/>
        <w:tabs>
          <w:tab w:val="right" w:leader="dot" w:pos="9060"/>
        </w:tabs>
        <w:rPr>
          <w:rFonts w:eastAsiaTheme="minorEastAsia"/>
          <w:noProof/>
          <w:lang w:eastAsia="en-AU"/>
        </w:rPr>
      </w:pPr>
      <w:r>
        <w:rPr>
          <w:rStyle w:val="Strong"/>
        </w:rPr>
        <w:fldChar w:fldCharType="begin"/>
      </w:r>
      <w:r>
        <w:rPr>
          <w:rStyle w:val="Strong"/>
        </w:rPr>
        <w:instrText xml:space="preserve"> TOC \h \z \c "Photo" </w:instrText>
      </w:r>
      <w:r>
        <w:rPr>
          <w:rStyle w:val="Strong"/>
        </w:rPr>
        <w:fldChar w:fldCharType="separate"/>
      </w:r>
      <w:hyperlink w:anchor="_Toc531772012" w:history="1">
        <w:r>
          <w:rPr>
            <w:rStyle w:val="Hyperlink"/>
            <w:noProof/>
          </w:rPr>
          <w:t xml:space="preserve">Photo 1 </w:t>
        </w:r>
        <w:r>
          <w:rPr>
            <w:rStyle w:val="Hyperlink"/>
            <w:noProof/>
            <w:lang w:eastAsia="ja-JP"/>
          </w:rPr>
          <w:t>Unloading the catch</w:t>
        </w:r>
        <w:r>
          <w:rPr>
            <w:noProof/>
            <w:webHidden/>
          </w:rPr>
          <w:tab/>
        </w:r>
        <w:r>
          <w:rPr>
            <w:noProof/>
            <w:webHidden/>
          </w:rPr>
          <w:fldChar w:fldCharType="begin"/>
        </w:r>
        <w:r>
          <w:rPr>
            <w:noProof/>
            <w:webHidden/>
          </w:rPr>
          <w:instrText xml:space="preserve"> PAGEREF _Toc531772012 \h </w:instrText>
        </w:r>
        <w:r>
          <w:rPr>
            <w:noProof/>
            <w:webHidden/>
          </w:rPr>
        </w:r>
        <w:r>
          <w:rPr>
            <w:noProof/>
            <w:webHidden/>
          </w:rPr>
          <w:fldChar w:fldCharType="separate"/>
        </w:r>
        <w:r w:rsidR="004B65A9">
          <w:rPr>
            <w:noProof/>
            <w:webHidden/>
          </w:rPr>
          <w:t>1</w:t>
        </w:r>
        <w:r>
          <w:rPr>
            <w:noProof/>
            <w:webHidden/>
          </w:rPr>
          <w:fldChar w:fldCharType="end"/>
        </w:r>
      </w:hyperlink>
    </w:p>
    <w:p w:rsidR="00236AD7" w:rsidRDefault="004B65A9">
      <w:pPr>
        <w:pStyle w:val="TableofFigures"/>
        <w:tabs>
          <w:tab w:val="right" w:leader="dot" w:pos="9060"/>
        </w:tabs>
        <w:rPr>
          <w:rFonts w:eastAsiaTheme="minorEastAsia"/>
          <w:noProof/>
          <w:lang w:eastAsia="en-AU"/>
        </w:rPr>
      </w:pPr>
      <w:hyperlink w:anchor="_Toc531772013" w:history="1">
        <w:r w:rsidR="00797BB4">
          <w:rPr>
            <w:rStyle w:val="Hyperlink"/>
            <w:noProof/>
          </w:rPr>
          <w:t>Photo 2 Steel crayfish vessel hoisted for hull cleaning and repainting</w:t>
        </w:r>
        <w:r w:rsidR="00797BB4">
          <w:rPr>
            <w:noProof/>
            <w:webHidden/>
          </w:rPr>
          <w:tab/>
        </w:r>
        <w:r w:rsidR="00797BB4">
          <w:rPr>
            <w:noProof/>
            <w:webHidden/>
          </w:rPr>
          <w:fldChar w:fldCharType="begin"/>
        </w:r>
        <w:r w:rsidR="00797BB4">
          <w:rPr>
            <w:noProof/>
            <w:webHidden/>
          </w:rPr>
          <w:instrText xml:space="preserve"> PAGEREF _Toc531772013 \h </w:instrText>
        </w:r>
        <w:r w:rsidR="00797BB4">
          <w:rPr>
            <w:noProof/>
            <w:webHidden/>
          </w:rPr>
        </w:r>
        <w:r w:rsidR="00797BB4">
          <w:rPr>
            <w:noProof/>
            <w:webHidden/>
          </w:rPr>
          <w:fldChar w:fldCharType="separate"/>
        </w:r>
        <w:r>
          <w:rPr>
            <w:noProof/>
            <w:webHidden/>
          </w:rPr>
          <w:t>2</w:t>
        </w:r>
        <w:r w:rsidR="00797BB4">
          <w:rPr>
            <w:noProof/>
            <w:webHidden/>
          </w:rPr>
          <w:fldChar w:fldCharType="end"/>
        </w:r>
      </w:hyperlink>
    </w:p>
    <w:p w:rsidR="00236AD7" w:rsidRDefault="004B65A9">
      <w:pPr>
        <w:pStyle w:val="TableofFigures"/>
        <w:tabs>
          <w:tab w:val="right" w:leader="dot" w:pos="9060"/>
        </w:tabs>
        <w:rPr>
          <w:rFonts w:eastAsiaTheme="minorEastAsia"/>
          <w:noProof/>
          <w:lang w:eastAsia="en-AU"/>
        </w:rPr>
      </w:pPr>
      <w:hyperlink w:anchor="_Toc531772014" w:history="1">
        <w:r w:rsidR="00797BB4">
          <w:rPr>
            <w:rStyle w:val="Hyperlink"/>
            <w:noProof/>
          </w:rPr>
          <w:t>Photo 3 S</w:t>
        </w:r>
        <w:r w:rsidR="00797BB4">
          <w:rPr>
            <w:rStyle w:val="Hyperlink"/>
            <w:noProof/>
            <w:lang w:eastAsia="ja-JP"/>
          </w:rPr>
          <w:t>ea chest showing high levels of biofouling</w:t>
        </w:r>
        <w:r w:rsidR="00797BB4">
          <w:rPr>
            <w:noProof/>
            <w:webHidden/>
          </w:rPr>
          <w:tab/>
        </w:r>
        <w:r w:rsidR="00797BB4">
          <w:rPr>
            <w:noProof/>
            <w:webHidden/>
          </w:rPr>
          <w:fldChar w:fldCharType="begin"/>
        </w:r>
        <w:r w:rsidR="00797BB4">
          <w:rPr>
            <w:noProof/>
            <w:webHidden/>
          </w:rPr>
          <w:instrText xml:space="preserve"> PAGEREF _Toc531772014 \h </w:instrText>
        </w:r>
        <w:r w:rsidR="00797BB4">
          <w:rPr>
            <w:noProof/>
            <w:webHidden/>
          </w:rPr>
        </w:r>
        <w:r w:rsidR="00797BB4">
          <w:rPr>
            <w:noProof/>
            <w:webHidden/>
          </w:rPr>
          <w:fldChar w:fldCharType="separate"/>
        </w:r>
        <w:r>
          <w:rPr>
            <w:noProof/>
            <w:webHidden/>
          </w:rPr>
          <w:t>4</w:t>
        </w:r>
        <w:r w:rsidR="00797BB4">
          <w:rPr>
            <w:noProof/>
            <w:webHidden/>
          </w:rPr>
          <w:fldChar w:fldCharType="end"/>
        </w:r>
      </w:hyperlink>
    </w:p>
    <w:p w:rsidR="00236AD7" w:rsidRDefault="004B65A9">
      <w:pPr>
        <w:pStyle w:val="TableofFigures"/>
        <w:tabs>
          <w:tab w:val="right" w:leader="dot" w:pos="9060"/>
        </w:tabs>
        <w:rPr>
          <w:rFonts w:eastAsiaTheme="minorEastAsia"/>
          <w:noProof/>
          <w:lang w:eastAsia="en-AU"/>
        </w:rPr>
      </w:pPr>
      <w:hyperlink w:anchor="_Toc531772015" w:history="1">
        <w:r w:rsidR="00797BB4">
          <w:rPr>
            <w:rStyle w:val="Hyperlink"/>
            <w:noProof/>
          </w:rPr>
          <w:t>Photo 4 Medium-level biofouling on the propeller and rudder of a commercial vessel</w:t>
        </w:r>
        <w:r w:rsidR="00797BB4">
          <w:rPr>
            <w:noProof/>
            <w:webHidden/>
          </w:rPr>
          <w:tab/>
        </w:r>
        <w:r w:rsidR="00797BB4">
          <w:rPr>
            <w:noProof/>
            <w:webHidden/>
          </w:rPr>
          <w:fldChar w:fldCharType="begin"/>
        </w:r>
        <w:r w:rsidR="00797BB4">
          <w:rPr>
            <w:noProof/>
            <w:webHidden/>
          </w:rPr>
          <w:instrText xml:space="preserve"> PAGEREF _Toc531772015 \h </w:instrText>
        </w:r>
        <w:r w:rsidR="00797BB4">
          <w:rPr>
            <w:noProof/>
            <w:webHidden/>
          </w:rPr>
        </w:r>
        <w:r w:rsidR="00797BB4">
          <w:rPr>
            <w:noProof/>
            <w:webHidden/>
          </w:rPr>
          <w:fldChar w:fldCharType="separate"/>
        </w:r>
        <w:r>
          <w:rPr>
            <w:noProof/>
            <w:webHidden/>
          </w:rPr>
          <w:t>6</w:t>
        </w:r>
        <w:r w:rsidR="00797BB4">
          <w:rPr>
            <w:noProof/>
            <w:webHidden/>
          </w:rPr>
          <w:fldChar w:fldCharType="end"/>
        </w:r>
      </w:hyperlink>
    </w:p>
    <w:p w:rsidR="00236AD7" w:rsidRDefault="004B65A9">
      <w:pPr>
        <w:pStyle w:val="TableofFigures"/>
        <w:tabs>
          <w:tab w:val="right" w:leader="dot" w:pos="9060"/>
        </w:tabs>
        <w:rPr>
          <w:rFonts w:eastAsiaTheme="minorEastAsia"/>
          <w:noProof/>
          <w:lang w:eastAsia="en-AU"/>
        </w:rPr>
      </w:pPr>
      <w:hyperlink w:anchor="_Toc531772016" w:history="1">
        <w:r w:rsidR="00797BB4">
          <w:rPr>
            <w:rStyle w:val="Hyperlink"/>
            <w:noProof/>
          </w:rPr>
          <w:t>Photo 5 Fishing nets with captured seaweed and other biological debris</w:t>
        </w:r>
        <w:r w:rsidR="00797BB4">
          <w:rPr>
            <w:noProof/>
            <w:webHidden/>
          </w:rPr>
          <w:tab/>
        </w:r>
        <w:r w:rsidR="00797BB4">
          <w:rPr>
            <w:noProof/>
            <w:webHidden/>
          </w:rPr>
          <w:fldChar w:fldCharType="begin"/>
        </w:r>
        <w:r w:rsidR="00797BB4">
          <w:rPr>
            <w:noProof/>
            <w:webHidden/>
          </w:rPr>
          <w:instrText xml:space="preserve"> PAGEREF _Toc531772016 \h </w:instrText>
        </w:r>
        <w:r w:rsidR="00797BB4">
          <w:rPr>
            <w:noProof/>
            <w:webHidden/>
          </w:rPr>
        </w:r>
        <w:r w:rsidR="00797BB4">
          <w:rPr>
            <w:noProof/>
            <w:webHidden/>
          </w:rPr>
          <w:fldChar w:fldCharType="separate"/>
        </w:r>
        <w:r>
          <w:rPr>
            <w:noProof/>
            <w:webHidden/>
          </w:rPr>
          <w:t>7</w:t>
        </w:r>
        <w:r w:rsidR="00797BB4">
          <w:rPr>
            <w:noProof/>
            <w:webHidden/>
          </w:rPr>
          <w:fldChar w:fldCharType="end"/>
        </w:r>
      </w:hyperlink>
    </w:p>
    <w:p w:rsidR="00236AD7" w:rsidRDefault="00797BB4">
      <w:r>
        <w:rPr>
          <w:rStyle w:val="Strong"/>
        </w:rPr>
        <w:fldChar w:fldCharType="end"/>
      </w:r>
    </w:p>
    <w:p w:rsidR="00236AD7" w:rsidRDefault="00236AD7">
      <w:pPr>
        <w:pStyle w:val="TableofFigures"/>
        <w:tabs>
          <w:tab w:val="right" w:leader="dot" w:pos="9060"/>
        </w:tabs>
        <w:sectPr w:rsidR="00236AD7">
          <w:headerReference w:type="default" r:id="rId17"/>
          <w:footerReference w:type="default" r:id="rId18"/>
          <w:headerReference w:type="first" r:id="rId19"/>
          <w:pgSz w:w="11906" w:h="16838"/>
          <w:pgMar w:top="1418" w:right="1418" w:bottom="1418" w:left="1418" w:header="567" w:footer="283" w:gutter="0"/>
          <w:pgNumType w:fmt="lowerRoman" w:start="1"/>
          <w:cols w:space="708"/>
          <w:titlePg/>
          <w:docGrid w:linePitch="360"/>
        </w:sectPr>
      </w:pPr>
    </w:p>
    <w:p w:rsidR="00236AD7" w:rsidRDefault="00797BB4">
      <w:pPr>
        <w:pStyle w:val="Heading2"/>
        <w:numPr>
          <w:ilvl w:val="0"/>
          <w:numId w:val="0"/>
        </w:numPr>
      </w:pPr>
      <w:bookmarkStart w:id="1" w:name="_Toc430782150"/>
      <w:bookmarkStart w:id="2" w:name="_Toc531771343"/>
      <w:r>
        <w:t>Introduction</w:t>
      </w:r>
      <w:bookmarkEnd w:id="1"/>
      <w:bookmarkEnd w:id="2"/>
    </w:p>
    <w:p w:rsidR="00236AD7" w:rsidRDefault="00797BB4">
      <w:r>
        <w:t>Preventing marine pest outbreaks is critical. They can significantly impact the marine environment, human health and the economy, and have adverse effects on marine and coastal industries and values. By the time a new marine pest is detected in an environment, the chances of successful eradication are low. Efforts must then focus on containment and management which has a considerable economic and ecological cost.</w:t>
      </w:r>
    </w:p>
    <w:p w:rsidR="00236AD7" w:rsidRDefault="00797BB4">
      <w:r>
        <w:t>Marine pests are mainly spread by ballast water and biofouling on vessels hulls and in niche areas and pipe work. While biofouling levels on vessels may seem insignificant, the pest potential of some species allows them to breed quickly from small numbers, with risk of a marine pest outbreak further increased by the frequency of vessel visits to a particular area.</w:t>
      </w:r>
    </w:p>
    <w:p w:rsidR="00236AD7" w:rsidRDefault="00797BB4">
      <w:r>
        <w:t>The Australian commercial fishing industry has developed the following voluntary national biofouling management guidelines to help prevent introduction of marine pests and protect the marine environment, businesses, fishing grounds and ports from the impacts of marine pest outbreaks. The guidelines provide information for vessel owners, skippers, engineers and crews about vessel maintenance, operations, reporting and emergency response to outbreaks.</w:t>
      </w:r>
    </w:p>
    <w:p w:rsidR="00236AD7" w:rsidRDefault="00797BB4">
      <w:r>
        <w:t xml:space="preserve">National biofouling management guidelines have also been developed for the recreational vessel and commercial vessel sectors. Similar documents titled </w:t>
      </w:r>
      <w:hyperlink r:id="rId20" w:history="1">
        <w:r w:rsidR="00B41A7F">
          <w:rPr>
            <w:rStyle w:val="Hyperlink"/>
          </w:rPr>
          <w:t>National B</w:t>
        </w:r>
        <w:r>
          <w:rPr>
            <w:rStyle w:val="Hyperlink"/>
          </w:rPr>
          <w:t>iofouling Management Guidelines</w:t>
        </w:r>
      </w:hyperlink>
      <w:r>
        <w:t xml:space="preserve"> have also been developed for non-trading vessels and the petroleum production and exploration industry.</w:t>
      </w:r>
    </w:p>
    <w:p w:rsidR="00236AD7" w:rsidRDefault="00797BB4">
      <w:pPr>
        <w:pStyle w:val="Caption"/>
        <w:rPr>
          <w:lang w:eastAsia="ja-JP"/>
        </w:rPr>
      </w:pPr>
      <w:bookmarkStart w:id="3" w:name="_Toc531006802"/>
      <w:bookmarkStart w:id="4" w:name="_Toc531772012"/>
      <w:r>
        <w:t xml:space="preserve">Photo </w:t>
      </w:r>
      <w:r>
        <w:rPr>
          <w:noProof/>
        </w:rPr>
        <w:fldChar w:fldCharType="begin"/>
      </w:r>
      <w:r>
        <w:rPr>
          <w:noProof/>
        </w:rPr>
        <w:instrText xml:space="preserve"> SEQ Photo \* ARABIC </w:instrText>
      </w:r>
      <w:r>
        <w:rPr>
          <w:noProof/>
        </w:rPr>
        <w:fldChar w:fldCharType="separate"/>
      </w:r>
      <w:r w:rsidR="004B65A9">
        <w:rPr>
          <w:noProof/>
        </w:rPr>
        <w:t>1</w:t>
      </w:r>
      <w:r>
        <w:rPr>
          <w:noProof/>
        </w:rPr>
        <w:fldChar w:fldCharType="end"/>
      </w:r>
      <w:r>
        <w:t xml:space="preserve"> </w:t>
      </w:r>
      <w:r>
        <w:rPr>
          <w:lang w:eastAsia="ja-JP"/>
        </w:rPr>
        <w:t>Unloading the catch</w:t>
      </w:r>
      <w:bookmarkEnd w:id="3"/>
      <w:bookmarkEnd w:id="4"/>
    </w:p>
    <w:p w:rsidR="00236AD7" w:rsidRDefault="00797BB4">
      <w:pPr>
        <w:rPr>
          <w:lang w:eastAsia="ja-JP"/>
        </w:rPr>
      </w:pPr>
      <w:r>
        <w:rPr>
          <w:noProof/>
          <w:lang w:eastAsia="en-AU"/>
        </w:rPr>
        <w:drawing>
          <wp:inline distT="0" distB="0" distL="0" distR="0">
            <wp:extent cx="5684175" cy="2691442"/>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21"/>
                    <a:stretch>
                      <a:fillRect/>
                    </a:stretch>
                  </pic:blipFill>
                  <pic:spPr>
                    <a:xfrm>
                      <a:off x="0" y="0"/>
                      <a:ext cx="5700344" cy="2699098"/>
                    </a:xfrm>
                    <a:prstGeom prst="rect">
                      <a:avLst/>
                    </a:prstGeom>
                  </pic:spPr>
                </pic:pic>
              </a:graphicData>
            </a:graphic>
          </wp:inline>
        </w:drawing>
      </w:r>
    </w:p>
    <w:p w:rsidR="00236AD7" w:rsidRDefault="00797BB4">
      <w:pPr>
        <w:pStyle w:val="Heading2"/>
      </w:pPr>
      <w:bookmarkStart w:id="5" w:name="_Toc531771344"/>
      <w:r>
        <w:t>Vessel maintenance</w:t>
      </w:r>
      <w:bookmarkEnd w:id="5"/>
    </w:p>
    <w:p w:rsidR="00236AD7" w:rsidRDefault="00797BB4">
      <w:pPr>
        <w:pStyle w:val="Heading3"/>
        <w:rPr>
          <w:lang w:eastAsia="ja-JP"/>
        </w:rPr>
      </w:pPr>
      <w:bookmarkStart w:id="6" w:name="_Toc531771345"/>
      <w:r>
        <w:rPr>
          <w:lang w:eastAsia="ja-JP"/>
        </w:rPr>
        <w:t>Maintaining trailered vessels onshore</w:t>
      </w:r>
      <w:bookmarkEnd w:id="6"/>
    </w:p>
    <w:p w:rsidR="00236AD7" w:rsidRDefault="00797BB4">
      <w:pPr>
        <w:pStyle w:val="ListBullet"/>
        <w:rPr>
          <w:lang w:eastAsia="ja-JP"/>
        </w:rPr>
      </w:pPr>
      <w:r>
        <w:rPr>
          <w:lang w:eastAsia="ja-JP"/>
        </w:rPr>
        <w:t>Check for and remove entangled or attached biological matter from the boat and trailer (seaweed).</w:t>
      </w:r>
    </w:p>
    <w:p w:rsidR="00236AD7" w:rsidRDefault="00797BB4">
      <w:pPr>
        <w:pStyle w:val="ListBullet"/>
        <w:rPr>
          <w:lang w:eastAsia="ja-JP"/>
        </w:rPr>
      </w:pPr>
      <w:r>
        <w:rPr>
          <w:lang w:eastAsia="ja-JP"/>
        </w:rPr>
        <w:t>Check outboard and hull fixtures for water that could harbour potential marine pests (including trimming outboard down to let water out of the gearbox housing).</w:t>
      </w:r>
    </w:p>
    <w:p w:rsidR="00236AD7" w:rsidRDefault="00797BB4">
      <w:pPr>
        <w:pStyle w:val="ListBullet"/>
        <w:rPr>
          <w:lang w:eastAsia="ja-JP"/>
        </w:rPr>
      </w:pPr>
      <w:r>
        <w:rPr>
          <w:lang w:eastAsia="ja-JP"/>
        </w:rPr>
        <w:t>Rinse the boat inside and out with fresh water, drain and if possible, allow to dry if moving to another location within 48 hours.</w:t>
      </w:r>
    </w:p>
    <w:p w:rsidR="00236AD7" w:rsidRDefault="00797BB4">
      <w:pPr>
        <w:pStyle w:val="ListBullet"/>
        <w:rPr>
          <w:lang w:eastAsia="ja-JP"/>
        </w:rPr>
      </w:pPr>
      <w:r>
        <w:rPr>
          <w:lang w:eastAsia="ja-JP"/>
        </w:rPr>
        <w:t>Regularly remove slime from the hull to prevent the build-up of heavier secondary biofouling.</w:t>
      </w:r>
    </w:p>
    <w:p w:rsidR="00236AD7" w:rsidRDefault="00797BB4">
      <w:pPr>
        <w:pStyle w:val="ListBullet"/>
        <w:rPr>
          <w:lang w:eastAsia="ja-JP"/>
        </w:rPr>
      </w:pPr>
      <w:r>
        <w:rPr>
          <w:lang w:eastAsia="ja-JP"/>
        </w:rPr>
        <w:t>Dispose of any biological matter, including known marine pests, in bins or to landfill so that it cannot be returned to the water.</w:t>
      </w:r>
    </w:p>
    <w:p w:rsidR="00236AD7" w:rsidRDefault="00797BB4">
      <w:pPr>
        <w:pStyle w:val="Heading3"/>
        <w:rPr>
          <w:lang w:eastAsia="ja-JP"/>
        </w:rPr>
      </w:pPr>
      <w:bookmarkStart w:id="7" w:name="_Toc531771346"/>
      <w:r>
        <w:rPr>
          <w:lang w:eastAsia="ja-JP"/>
        </w:rPr>
        <w:t>Maintaining non-trailered vessels</w:t>
      </w:r>
      <w:bookmarkEnd w:id="7"/>
    </w:p>
    <w:p w:rsidR="00236AD7" w:rsidRDefault="00797BB4">
      <w:pPr>
        <w:rPr>
          <w:lang w:eastAsia="ja-JP"/>
        </w:rPr>
      </w:pPr>
      <w:r>
        <w:rPr>
          <w:lang w:eastAsia="ja-JP"/>
        </w:rPr>
        <w:t>These directions apply to any vessels that have raw water Internal Water Systems (IWS).</w:t>
      </w:r>
    </w:p>
    <w:p w:rsidR="00236AD7" w:rsidRDefault="00797BB4">
      <w:pPr>
        <w:pStyle w:val="ListBullet"/>
        <w:rPr>
          <w:lang w:eastAsia="ja-JP"/>
        </w:rPr>
      </w:pPr>
      <w:r>
        <w:rPr>
          <w:lang w:eastAsia="ja-JP"/>
        </w:rPr>
        <w:t>Conduct hull scraping at a designated on-shore facility (marina or slipway with waste trapping facilities) (</w:t>
      </w:r>
      <w:r>
        <w:rPr>
          <w:lang w:eastAsia="ja-JP"/>
        </w:rPr>
        <w:fldChar w:fldCharType="begin"/>
      </w:r>
      <w:r>
        <w:rPr>
          <w:lang w:eastAsia="ja-JP"/>
        </w:rPr>
        <w:instrText xml:space="preserve"> REF _Ref531006608 \h </w:instrText>
      </w:r>
      <w:r>
        <w:rPr>
          <w:lang w:eastAsia="ja-JP"/>
        </w:rPr>
      </w:r>
      <w:r>
        <w:rPr>
          <w:lang w:eastAsia="ja-JP"/>
        </w:rPr>
        <w:fldChar w:fldCharType="separate"/>
      </w:r>
      <w:r w:rsidR="004B65A9">
        <w:t xml:space="preserve">Photo </w:t>
      </w:r>
      <w:r w:rsidR="004B65A9">
        <w:rPr>
          <w:noProof/>
        </w:rPr>
        <w:t>2</w:t>
      </w:r>
      <w:r>
        <w:rPr>
          <w:lang w:eastAsia="ja-JP"/>
        </w:rPr>
        <w:fldChar w:fldCharType="end"/>
      </w:r>
      <w:r>
        <w:rPr>
          <w:lang w:eastAsia="ja-JP"/>
        </w:rPr>
        <w:t>).</w:t>
      </w:r>
    </w:p>
    <w:p w:rsidR="00236AD7" w:rsidRDefault="00797BB4">
      <w:pPr>
        <w:pStyle w:val="ListBullet"/>
        <w:rPr>
          <w:lang w:eastAsia="ja-JP"/>
        </w:rPr>
      </w:pPr>
      <w:r>
        <w:rPr>
          <w:lang w:eastAsia="ja-JP"/>
        </w:rPr>
        <w:t>Dispose of all biological matter that is removed from the vessel at on-shore facilities so that it cannot be returned to the water.</w:t>
      </w:r>
    </w:p>
    <w:p w:rsidR="00236AD7" w:rsidRDefault="00797BB4">
      <w:pPr>
        <w:pStyle w:val="ListBullet"/>
        <w:rPr>
          <w:lang w:eastAsia="ja-JP"/>
        </w:rPr>
      </w:pPr>
      <w:r>
        <w:rPr>
          <w:lang w:eastAsia="ja-JP"/>
        </w:rPr>
        <w:t>Clean potential refuge spaces that could harbour marine pests (</w:t>
      </w:r>
      <w:r>
        <w:rPr>
          <w:lang w:eastAsia="ja-JP"/>
        </w:rPr>
        <w:fldChar w:fldCharType="begin"/>
      </w:r>
      <w:r>
        <w:rPr>
          <w:lang w:eastAsia="ja-JP"/>
        </w:rPr>
        <w:instrText xml:space="preserve"> REF _Ref531077575 \h </w:instrText>
      </w:r>
      <w:r>
        <w:rPr>
          <w:lang w:eastAsia="ja-JP"/>
        </w:rPr>
      </w:r>
      <w:r>
        <w:rPr>
          <w:lang w:eastAsia="ja-JP"/>
        </w:rPr>
        <w:fldChar w:fldCharType="separate"/>
      </w:r>
      <w:r w:rsidR="004B65A9">
        <w:t xml:space="preserve">Figure </w:t>
      </w:r>
      <w:r w:rsidR="004B65A9">
        <w:rPr>
          <w:noProof/>
        </w:rPr>
        <w:t>1</w:t>
      </w:r>
      <w:r>
        <w:rPr>
          <w:lang w:eastAsia="ja-JP"/>
        </w:rPr>
        <w:fldChar w:fldCharType="end"/>
      </w:r>
      <w:r>
        <w:rPr>
          <w:lang w:eastAsia="ja-JP"/>
        </w:rPr>
        <w:t>) and, if possible, allow to dry.</w:t>
      </w:r>
    </w:p>
    <w:p w:rsidR="00236AD7" w:rsidRDefault="00797BB4">
      <w:pPr>
        <w:pStyle w:val="ListBullet"/>
        <w:rPr>
          <w:lang w:eastAsia="ja-JP"/>
        </w:rPr>
      </w:pPr>
      <w:r>
        <w:rPr>
          <w:lang w:eastAsia="ja-JP"/>
        </w:rPr>
        <w:t>Treat Internal Water Systems by cleaning intake and outlet points and by periodically flooding with fresh water prior to moving between regions.</w:t>
      </w:r>
    </w:p>
    <w:p w:rsidR="00236AD7" w:rsidRDefault="00797BB4">
      <w:pPr>
        <w:pStyle w:val="Caption"/>
      </w:pPr>
      <w:bookmarkStart w:id="8" w:name="_Ref531006608"/>
      <w:bookmarkStart w:id="9" w:name="_Toc531006803"/>
      <w:bookmarkStart w:id="10" w:name="_Toc531772013"/>
      <w:r>
        <w:t xml:space="preserve">Photo </w:t>
      </w:r>
      <w:r>
        <w:rPr>
          <w:noProof/>
        </w:rPr>
        <w:fldChar w:fldCharType="begin"/>
      </w:r>
      <w:r>
        <w:rPr>
          <w:noProof/>
        </w:rPr>
        <w:instrText xml:space="preserve"> SEQ Photo \* ARABIC </w:instrText>
      </w:r>
      <w:r>
        <w:rPr>
          <w:noProof/>
        </w:rPr>
        <w:fldChar w:fldCharType="separate"/>
      </w:r>
      <w:r w:rsidR="004B65A9">
        <w:rPr>
          <w:noProof/>
        </w:rPr>
        <w:t>2</w:t>
      </w:r>
      <w:r>
        <w:rPr>
          <w:noProof/>
        </w:rPr>
        <w:fldChar w:fldCharType="end"/>
      </w:r>
      <w:bookmarkEnd w:id="8"/>
      <w:r>
        <w:t xml:space="preserve"> Steel crayfish vessel hoisted for hull cleaning and repainting</w:t>
      </w:r>
      <w:bookmarkEnd w:id="9"/>
      <w:bookmarkEnd w:id="10"/>
    </w:p>
    <w:p w:rsidR="00236AD7" w:rsidRDefault="00797BB4">
      <w:pPr>
        <w:rPr>
          <w:lang w:eastAsia="ja-JP"/>
        </w:rPr>
      </w:pPr>
      <w:r>
        <w:rPr>
          <w:noProof/>
          <w:lang w:eastAsia="en-AU"/>
        </w:rPr>
        <w:drawing>
          <wp:inline distT="0" distB="0" distL="0" distR="0">
            <wp:extent cx="4329415" cy="2687541"/>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rotWithShape="1">
                    <a:blip r:embed="rId22"/>
                    <a:srcRect l="3733" t="3255" r="8200" b="10047"/>
                    <a:stretch/>
                  </pic:blipFill>
                  <pic:spPr bwMode="auto">
                    <a:xfrm>
                      <a:off x="0" y="0"/>
                      <a:ext cx="4414419" cy="2740308"/>
                    </a:xfrm>
                    <a:prstGeom prst="rect">
                      <a:avLst/>
                    </a:prstGeom>
                    <a:ln>
                      <a:noFill/>
                    </a:ln>
                    <a:extLst>
                      <a:ext uri="{53640926-AAD7-44D8-BBD7-CCE9431645EC}">
                        <a14:shadowObscured xmlns:a14="http://schemas.microsoft.com/office/drawing/2010/main"/>
                      </a:ext>
                    </a:extLst>
                  </pic:spPr>
                </pic:pic>
              </a:graphicData>
            </a:graphic>
          </wp:inline>
        </w:drawing>
      </w:r>
    </w:p>
    <w:p w:rsidR="00236AD7" w:rsidRDefault="00797BB4">
      <w:pPr>
        <w:pStyle w:val="FigureTableNoteSource"/>
        <w:rPr>
          <w:lang w:eastAsia="ja-JP"/>
        </w:rPr>
      </w:pPr>
      <w:r>
        <w:rPr>
          <w:lang w:eastAsia="ja-JP"/>
        </w:rPr>
        <w:t>Image: Aquenal Pty Ltd.</w:t>
      </w:r>
    </w:p>
    <w:p w:rsidR="00236AD7" w:rsidRDefault="00797BB4">
      <w:pPr>
        <w:pStyle w:val="Caption"/>
      </w:pPr>
      <w:bookmarkStart w:id="11" w:name="_Ref531077575"/>
      <w:bookmarkStart w:id="12" w:name="_Toc531006771"/>
      <w:bookmarkStart w:id="13" w:name="_Toc531771359"/>
      <w:r>
        <w:t xml:space="preserve">Figure </w:t>
      </w:r>
      <w:r>
        <w:rPr>
          <w:noProof/>
        </w:rPr>
        <w:fldChar w:fldCharType="begin"/>
      </w:r>
      <w:r>
        <w:rPr>
          <w:noProof/>
        </w:rPr>
        <w:instrText xml:space="preserve"> SEQ Figure \* ARABIC </w:instrText>
      </w:r>
      <w:r>
        <w:rPr>
          <w:noProof/>
        </w:rPr>
        <w:fldChar w:fldCharType="separate"/>
      </w:r>
      <w:r w:rsidR="004B65A9">
        <w:rPr>
          <w:noProof/>
        </w:rPr>
        <w:t>1</w:t>
      </w:r>
      <w:r>
        <w:rPr>
          <w:noProof/>
        </w:rPr>
        <w:fldChar w:fldCharType="end"/>
      </w:r>
      <w:bookmarkEnd w:id="11"/>
      <w:r>
        <w:t xml:space="preserve"> Niche areas where biofouling can accumulate on a commercial fishing vessel</w:t>
      </w:r>
      <w:bookmarkEnd w:id="12"/>
      <w:bookmarkEnd w:id="13"/>
    </w:p>
    <w:p w:rsidR="00236AD7" w:rsidRDefault="00797BB4">
      <w:pPr>
        <w:rPr>
          <w:lang w:eastAsia="ja-JP"/>
        </w:rPr>
      </w:pPr>
      <w:r>
        <w:rPr>
          <w:noProof/>
          <w:lang w:eastAsia="en-AU"/>
        </w:rPr>
        <w:drawing>
          <wp:inline distT="0" distB="0" distL="0" distR="0">
            <wp:extent cx="5756394" cy="5883965"/>
            <wp:effectExtent l="0" t="0" r="0" b="2540"/>
            <wp:docPr id="1" name="Picture 1" descr="Diagram of a commercial fishing vessel with areas marked: fishing gear, live well, anchor well, rudder, propeller, external cooling pipes, stabiliser, sea chest/strum box, and sacrificial a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ches commercial fishing vessel.jpg"/>
                    <pic:cNvPicPr/>
                  </pic:nvPicPr>
                  <pic:blipFill>
                    <a:blip r:embed="rId23">
                      <a:extLst>
                        <a:ext uri="{28A0092B-C50C-407E-A947-70E740481C1C}">
                          <a14:useLocalDpi xmlns:a14="http://schemas.microsoft.com/office/drawing/2010/main" val="0"/>
                        </a:ext>
                      </a:extLst>
                    </a:blip>
                    <a:stretch>
                      <a:fillRect/>
                    </a:stretch>
                  </pic:blipFill>
                  <pic:spPr>
                    <a:xfrm>
                      <a:off x="0" y="0"/>
                      <a:ext cx="5773743" cy="5901699"/>
                    </a:xfrm>
                    <a:prstGeom prst="rect">
                      <a:avLst/>
                    </a:prstGeom>
                  </pic:spPr>
                </pic:pic>
              </a:graphicData>
            </a:graphic>
          </wp:inline>
        </w:drawing>
      </w:r>
    </w:p>
    <w:p w:rsidR="00236AD7" w:rsidRDefault="00797BB4">
      <w:pPr>
        <w:pStyle w:val="FigureTableNoteSource"/>
        <w:rPr>
          <w:lang w:eastAsia="ja-JP"/>
        </w:rPr>
      </w:pPr>
      <w:r>
        <w:rPr>
          <w:lang w:eastAsia="ja-JP"/>
        </w:rPr>
        <w:t>Note: Illustration adapted from a diagram provided by Mermaid Marine Australia Ltd.</w:t>
      </w:r>
    </w:p>
    <w:p w:rsidR="00236AD7" w:rsidRDefault="00797BB4">
      <w:pPr>
        <w:pStyle w:val="Heading3"/>
        <w:pageBreakBefore/>
        <w:rPr>
          <w:rFonts w:eastAsiaTheme="minorEastAsia"/>
          <w:lang w:eastAsia="ja-JP"/>
        </w:rPr>
      </w:pPr>
      <w:bookmarkStart w:id="14" w:name="_Toc531771347"/>
      <w:r>
        <w:rPr>
          <w:rFonts w:eastAsiaTheme="minorEastAsia"/>
          <w:lang w:eastAsia="ja-JP"/>
        </w:rPr>
        <w:t>Hull protection</w:t>
      </w:r>
      <w:bookmarkEnd w:id="14"/>
    </w:p>
    <w:p w:rsidR="00236AD7" w:rsidRDefault="00797BB4">
      <w:pPr>
        <w:pStyle w:val="Heading4"/>
        <w:numPr>
          <w:ilvl w:val="0"/>
          <w:numId w:val="0"/>
        </w:numPr>
        <w:rPr>
          <w:rFonts w:eastAsiaTheme="minorEastAsia"/>
          <w:lang w:eastAsia="ja-JP"/>
        </w:rPr>
      </w:pPr>
      <w:r>
        <w:rPr>
          <w:rFonts w:eastAsiaTheme="minorEastAsia"/>
          <w:lang w:eastAsia="ja-JP"/>
        </w:rPr>
        <w:t>Hull cleaning</w:t>
      </w:r>
    </w:p>
    <w:p w:rsidR="00236AD7" w:rsidRDefault="00797BB4">
      <w:pPr>
        <w:rPr>
          <w:lang w:eastAsia="ja-JP"/>
        </w:rPr>
      </w:pPr>
      <w:r>
        <w:rPr>
          <w:lang w:eastAsia="ja-JP"/>
        </w:rPr>
        <w:t xml:space="preserve">Biological matter removed during hull cleaning must be contained or collected, and treated and/or </w:t>
      </w:r>
      <w:r>
        <w:t>disposed</w:t>
      </w:r>
      <w:r>
        <w:rPr>
          <w:lang w:eastAsia="ja-JP"/>
        </w:rPr>
        <w:t xml:space="preserve"> of at on-shore facilities. If conducting hull servicing independently, remember to obtain relevant permits to discard biological matter at an approved disposal site.</w:t>
      </w:r>
    </w:p>
    <w:p w:rsidR="00236AD7" w:rsidRDefault="00797BB4">
      <w:pPr>
        <w:pStyle w:val="Caption"/>
        <w:rPr>
          <w:lang w:eastAsia="ja-JP"/>
        </w:rPr>
      </w:pPr>
      <w:bookmarkStart w:id="15" w:name="_Toc531006804"/>
      <w:bookmarkStart w:id="16" w:name="_Toc531772014"/>
      <w:r>
        <w:t xml:space="preserve">Photo </w:t>
      </w:r>
      <w:r>
        <w:rPr>
          <w:noProof/>
        </w:rPr>
        <w:fldChar w:fldCharType="begin"/>
      </w:r>
      <w:r>
        <w:rPr>
          <w:noProof/>
        </w:rPr>
        <w:instrText xml:space="preserve"> SEQ Photo \* ARABIC </w:instrText>
      </w:r>
      <w:r>
        <w:rPr>
          <w:noProof/>
        </w:rPr>
        <w:fldChar w:fldCharType="separate"/>
      </w:r>
      <w:r w:rsidR="004B65A9">
        <w:rPr>
          <w:noProof/>
        </w:rPr>
        <w:t>3</w:t>
      </w:r>
      <w:r>
        <w:rPr>
          <w:noProof/>
        </w:rPr>
        <w:fldChar w:fldCharType="end"/>
      </w:r>
      <w:r>
        <w:t xml:space="preserve"> S</w:t>
      </w:r>
      <w:r>
        <w:rPr>
          <w:lang w:eastAsia="ja-JP"/>
        </w:rPr>
        <w:t>ea chest showing high levels of biofouling</w:t>
      </w:r>
      <w:bookmarkEnd w:id="15"/>
      <w:bookmarkEnd w:id="16"/>
    </w:p>
    <w:p w:rsidR="00236AD7" w:rsidRDefault="00797BB4">
      <w:pPr>
        <w:rPr>
          <w:lang w:eastAsia="ja-JP"/>
        </w:rPr>
      </w:pPr>
      <w:r>
        <w:rPr>
          <w:noProof/>
          <w:lang w:eastAsia="en-AU"/>
        </w:rPr>
        <w:drawing>
          <wp:inline distT="0" distB="0" distL="0" distR="0">
            <wp:extent cx="4831200" cy="3632400"/>
            <wp:effectExtent l="0" t="0" r="7620" b="635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24"/>
                    <a:stretch>
                      <a:fillRect/>
                    </a:stretch>
                  </pic:blipFill>
                  <pic:spPr>
                    <a:xfrm>
                      <a:off x="0" y="0"/>
                      <a:ext cx="4831200" cy="3632400"/>
                    </a:xfrm>
                    <a:prstGeom prst="rect">
                      <a:avLst/>
                    </a:prstGeom>
                  </pic:spPr>
                </pic:pic>
              </a:graphicData>
            </a:graphic>
          </wp:inline>
        </w:drawing>
      </w:r>
    </w:p>
    <w:p w:rsidR="00236AD7" w:rsidRDefault="00797BB4">
      <w:pPr>
        <w:pStyle w:val="FigureTableNoteSource"/>
        <w:rPr>
          <w:lang w:eastAsia="ja-JP"/>
        </w:rPr>
      </w:pPr>
      <w:r>
        <w:rPr>
          <w:lang w:eastAsia="ja-JP"/>
        </w:rPr>
        <w:t>Image: Aquenal Pty Ltd.</w:t>
      </w:r>
    </w:p>
    <w:p w:rsidR="00236AD7" w:rsidRDefault="00797BB4">
      <w:pPr>
        <w:pStyle w:val="Heading4"/>
        <w:numPr>
          <w:ilvl w:val="0"/>
          <w:numId w:val="0"/>
        </w:numPr>
        <w:ind w:left="851" w:hanging="851"/>
        <w:rPr>
          <w:lang w:eastAsia="ja-JP"/>
        </w:rPr>
      </w:pPr>
      <w:r>
        <w:rPr>
          <w:lang w:eastAsia="ja-JP"/>
        </w:rPr>
        <w:t>Antifouling coating</w:t>
      </w:r>
    </w:p>
    <w:p w:rsidR="00236AD7" w:rsidRDefault="00797BB4">
      <w:pPr>
        <w:rPr>
          <w:lang w:eastAsia="ja-JP"/>
        </w:rPr>
      </w:pPr>
      <w:r>
        <w:rPr>
          <w:lang w:eastAsia="ja-JP"/>
        </w:rPr>
        <w:t>Consult an antifouling coating supplier for advice as required and select the most appropriate coating system, based on:</w:t>
      </w:r>
    </w:p>
    <w:p w:rsidR="00236AD7" w:rsidRDefault="00797BB4">
      <w:pPr>
        <w:pStyle w:val="ListBullet"/>
        <w:rPr>
          <w:lang w:eastAsia="ja-JP"/>
        </w:rPr>
      </w:pPr>
      <w:r>
        <w:rPr>
          <w:lang w:eastAsia="ja-JP"/>
        </w:rPr>
        <w:t>vessel operating location (tropical vs temperate)</w:t>
      </w:r>
    </w:p>
    <w:p w:rsidR="00236AD7" w:rsidRDefault="00797BB4">
      <w:pPr>
        <w:pStyle w:val="ListBullet"/>
        <w:rPr>
          <w:lang w:eastAsia="ja-JP"/>
        </w:rPr>
      </w:pPr>
      <w:r>
        <w:rPr>
          <w:lang w:eastAsia="ja-JP"/>
        </w:rPr>
        <w:t>vessel type/operating conditions</w:t>
      </w:r>
    </w:p>
    <w:p w:rsidR="00236AD7" w:rsidRDefault="00797BB4">
      <w:pPr>
        <w:pStyle w:val="ListBullet"/>
        <w:rPr>
          <w:lang w:eastAsia="ja-JP"/>
        </w:rPr>
      </w:pPr>
      <w:r>
        <w:rPr>
          <w:lang w:eastAsia="ja-JP"/>
        </w:rPr>
        <w:t>vessel construction materials.</w:t>
      </w:r>
    </w:p>
    <w:p w:rsidR="00236AD7" w:rsidRDefault="00797BB4">
      <w:pPr>
        <w:rPr>
          <w:lang w:eastAsia="ja-JP"/>
        </w:rPr>
      </w:pPr>
      <w:r>
        <w:rPr>
          <w:lang w:eastAsia="ja-JP"/>
        </w:rPr>
        <w:t xml:space="preserve">Note that </w:t>
      </w:r>
      <w:r>
        <w:t>antifouling</w:t>
      </w:r>
      <w:r>
        <w:rPr>
          <w:lang w:eastAsia="ja-JP"/>
        </w:rPr>
        <w:t xml:space="preserve"> products containing tributyltin (TB71) cannot be used in Australia</w:t>
      </w:r>
    </w:p>
    <w:p w:rsidR="00236AD7" w:rsidRDefault="00797BB4">
      <w:pPr>
        <w:rPr>
          <w:lang w:eastAsia="ja-JP"/>
        </w:rPr>
      </w:pPr>
      <w:r>
        <w:rPr>
          <w:lang w:eastAsia="ja-JP"/>
        </w:rPr>
        <w:t xml:space="preserve">Apply and remove antifouling products at licensed vessel maintenance facilities. Premises and application should comply with the </w:t>
      </w:r>
      <w:r>
        <w:rPr>
          <w:rStyle w:val="Emphasis"/>
          <w:lang w:eastAsia="ja-JP"/>
        </w:rPr>
        <w:t>ANZECC Code of Practice for Antifouling and In-Water Hull Cleaning and Maintenance</w:t>
      </w:r>
      <w:r>
        <w:rPr>
          <w:lang w:eastAsia="ja-JP"/>
        </w:rPr>
        <w:t xml:space="preserve"> (1997), the </w:t>
      </w:r>
      <w:hyperlink r:id="rId25" w:history="1">
        <w:r>
          <w:rPr>
            <w:rStyle w:val="Hyperlink"/>
            <w:lang w:eastAsia="ja-JP"/>
          </w:rPr>
          <w:t>Anti-fouling and in-water cleaning guidelines</w:t>
        </w:r>
      </w:hyperlink>
      <w:r>
        <w:rPr>
          <w:lang w:eastAsia="ja-JP"/>
        </w:rPr>
        <w:t xml:space="preserve"> and product manufacturer’s instructions.</w:t>
      </w:r>
    </w:p>
    <w:p w:rsidR="00236AD7" w:rsidRDefault="00797BB4">
      <w:pPr>
        <w:rPr>
          <w:lang w:eastAsia="ja-JP"/>
        </w:rPr>
      </w:pPr>
      <w:r>
        <w:rPr>
          <w:lang w:eastAsia="ja-JP"/>
        </w:rPr>
        <w:t>Antifouling should be renewed according to the minimum frequency recommended by the paint manufacturer. Assess the effectiveness of antifouling coatings on vessels that are immobile for a prolonged period and if necessary clean the hull and re-apply antifouling coating prior to proceeding to sea.</w:t>
      </w:r>
    </w:p>
    <w:p w:rsidR="00236AD7" w:rsidRDefault="00797BB4">
      <w:pPr>
        <w:pStyle w:val="Heading4"/>
        <w:numPr>
          <w:ilvl w:val="0"/>
          <w:numId w:val="0"/>
        </w:numPr>
        <w:ind w:left="851" w:hanging="851"/>
        <w:rPr>
          <w:lang w:eastAsia="ja-JP"/>
        </w:rPr>
      </w:pPr>
      <w:r>
        <w:rPr>
          <w:lang w:eastAsia="ja-JP"/>
        </w:rPr>
        <w:t>Inspection of unpainted surfaces</w:t>
      </w:r>
    </w:p>
    <w:p w:rsidR="00236AD7" w:rsidRDefault="00797BB4">
      <w:pPr>
        <w:rPr>
          <w:lang w:eastAsia="ja-JP"/>
        </w:rPr>
      </w:pPr>
      <w:r>
        <w:rPr>
          <w:lang w:eastAsia="ja-JP"/>
        </w:rPr>
        <w:t>Some surfaces (such as propellers or echo sounders) cannot be pained and are more susceptible to biofouling and must be inspected regularly. If they are fouled, any biological matter should be removed and disposed of at onshore disposal facilities.</w:t>
      </w:r>
    </w:p>
    <w:p w:rsidR="00236AD7" w:rsidRDefault="00797BB4">
      <w:pPr>
        <w:rPr>
          <w:lang w:eastAsia="ja-JP"/>
        </w:rPr>
      </w:pPr>
      <w:r>
        <w:rPr>
          <w:lang w:eastAsia="ja-JP"/>
        </w:rPr>
        <w:t>Commercially available greases or other specified coatings can be applied to surfaces such as propellers to help keep them clean.</w:t>
      </w:r>
    </w:p>
    <w:p w:rsidR="00236AD7" w:rsidRDefault="00797BB4">
      <w:pPr>
        <w:pStyle w:val="Heading4"/>
        <w:numPr>
          <w:ilvl w:val="0"/>
          <w:numId w:val="0"/>
        </w:numPr>
        <w:ind w:left="851" w:hanging="851"/>
        <w:rPr>
          <w:lang w:eastAsia="ja-JP"/>
        </w:rPr>
      </w:pPr>
      <w:r>
        <w:rPr>
          <w:lang w:eastAsia="ja-JP"/>
        </w:rPr>
        <w:t>Record keeping</w:t>
      </w:r>
    </w:p>
    <w:p w:rsidR="00236AD7" w:rsidRDefault="00797BB4">
      <w:pPr>
        <w:rPr>
          <w:lang w:eastAsia="ja-JP"/>
        </w:rPr>
      </w:pPr>
      <w:r>
        <w:rPr>
          <w:lang w:eastAsia="ja-JP"/>
        </w:rPr>
        <w:t>Keep records of hull maintenance and antifouling coatings in the vessel's operations and maintenance manuals. Records may include antifouling product invoices (brand and type), place and date of application, date for renewal and a record of any official inspection carried.</w:t>
      </w:r>
    </w:p>
    <w:p w:rsidR="00236AD7" w:rsidRDefault="00797BB4">
      <w:pPr>
        <w:pStyle w:val="Heading2"/>
      </w:pPr>
      <w:bookmarkStart w:id="17" w:name="_Toc531771348"/>
      <w:r>
        <w:t>Vessel operations</w:t>
      </w:r>
      <w:bookmarkEnd w:id="17"/>
    </w:p>
    <w:p w:rsidR="00236AD7" w:rsidRDefault="00797BB4">
      <w:pPr>
        <w:pStyle w:val="Heading3"/>
        <w:rPr>
          <w:rFonts w:eastAsiaTheme="minorEastAsia"/>
          <w:lang w:eastAsia="ja-JP"/>
        </w:rPr>
      </w:pPr>
      <w:bookmarkStart w:id="18" w:name="_Toc531771349"/>
      <w:r>
        <w:rPr>
          <w:rFonts w:eastAsiaTheme="minorEastAsia"/>
          <w:lang w:eastAsia="ja-JP"/>
        </w:rPr>
        <w:t>Normal deck activities</w:t>
      </w:r>
      <w:bookmarkEnd w:id="18"/>
    </w:p>
    <w:p w:rsidR="00236AD7" w:rsidRDefault="00797BB4">
      <w:pPr>
        <w:pStyle w:val="ListBullet"/>
        <w:rPr>
          <w:lang w:eastAsia="ja-JP"/>
        </w:rPr>
      </w:pPr>
      <w:r>
        <w:rPr>
          <w:lang w:eastAsia="ja-JP"/>
        </w:rPr>
        <w:t>Clear decks and any refuge areas on deck that may harbour a marine pest, such as spaces under winches and around deck fittings.</w:t>
      </w:r>
    </w:p>
    <w:p w:rsidR="00236AD7" w:rsidRDefault="00797BB4">
      <w:pPr>
        <w:pStyle w:val="ListBullet"/>
        <w:rPr>
          <w:lang w:eastAsia="ja-JP"/>
        </w:rPr>
      </w:pPr>
      <w:r>
        <w:rPr>
          <w:lang w:eastAsia="ja-JP"/>
        </w:rPr>
        <w:t>Clean and dry mooring lines that have biofouling attached.</w:t>
      </w:r>
    </w:p>
    <w:p w:rsidR="00236AD7" w:rsidRDefault="00797BB4">
      <w:pPr>
        <w:pStyle w:val="ListBullet"/>
        <w:rPr>
          <w:lang w:eastAsia="ja-JP"/>
        </w:rPr>
      </w:pPr>
      <w:r>
        <w:rPr>
          <w:lang w:eastAsia="ja-JP"/>
        </w:rPr>
        <w:t>Clear warps and anchors of biological matter and mud/sand as they are hauled.</w:t>
      </w:r>
    </w:p>
    <w:p w:rsidR="00236AD7" w:rsidRDefault="00797BB4">
      <w:pPr>
        <w:pStyle w:val="ListBullet"/>
        <w:rPr>
          <w:lang w:eastAsia="ja-JP"/>
        </w:rPr>
      </w:pPr>
      <w:r>
        <w:rPr>
          <w:lang w:eastAsia="ja-JP"/>
        </w:rPr>
        <w:t>Regularly clean anchor and chain wells and lockers.</w:t>
      </w:r>
    </w:p>
    <w:p w:rsidR="00236AD7" w:rsidRDefault="00797BB4">
      <w:pPr>
        <w:pStyle w:val="Caption"/>
      </w:pPr>
      <w:bookmarkStart w:id="19" w:name="_Toc531006805"/>
      <w:bookmarkStart w:id="20" w:name="_Toc531772015"/>
      <w:r>
        <w:t xml:space="preserve">Photo </w:t>
      </w:r>
      <w:r>
        <w:rPr>
          <w:noProof/>
        </w:rPr>
        <w:fldChar w:fldCharType="begin"/>
      </w:r>
      <w:r>
        <w:rPr>
          <w:noProof/>
        </w:rPr>
        <w:instrText xml:space="preserve"> SEQ Photo \* ARABIC </w:instrText>
      </w:r>
      <w:r>
        <w:rPr>
          <w:noProof/>
        </w:rPr>
        <w:fldChar w:fldCharType="separate"/>
      </w:r>
      <w:r w:rsidR="004B65A9">
        <w:rPr>
          <w:noProof/>
        </w:rPr>
        <w:t>4</w:t>
      </w:r>
      <w:r>
        <w:rPr>
          <w:noProof/>
        </w:rPr>
        <w:fldChar w:fldCharType="end"/>
      </w:r>
      <w:r>
        <w:t xml:space="preserve"> Medium-level biofouling on the propeller and rudder of a commercial vessel</w:t>
      </w:r>
      <w:bookmarkEnd w:id="19"/>
      <w:bookmarkEnd w:id="20"/>
    </w:p>
    <w:p w:rsidR="00236AD7" w:rsidRDefault="00797BB4">
      <w:r>
        <w:rPr>
          <w:noProof/>
          <w:lang w:eastAsia="en-AU"/>
        </w:rPr>
        <w:drawing>
          <wp:inline distT="0" distB="0" distL="0" distR="0">
            <wp:extent cx="4455048" cy="5840083"/>
            <wp:effectExtent l="0" t="0" r="317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V biofouled propeller.jpg"/>
                    <pic:cNvPicPr/>
                  </pic:nvPicPr>
                  <pic:blipFill>
                    <a:blip r:embed="rId26">
                      <a:extLst>
                        <a:ext uri="{28A0092B-C50C-407E-A947-70E740481C1C}">
                          <a14:useLocalDpi xmlns:a14="http://schemas.microsoft.com/office/drawing/2010/main" val="0"/>
                        </a:ext>
                      </a:extLst>
                    </a:blip>
                    <a:stretch>
                      <a:fillRect/>
                    </a:stretch>
                  </pic:blipFill>
                  <pic:spPr>
                    <a:xfrm>
                      <a:off x="0" y="0"/>
                      <a:ext cx="4455048" cy="5840083"/>
                    </a:xfrm>
                    <a:prstGeom prst="rect">
                      <a:avLst/>
                    </a:prstGeom>
                  </pic:spPr>
                </pic:pic>
              </a:graphicData>
            </a:graphic>
          </wp:inline>
        </w:drawing>
      </w:r>
    </w:p>
    <w:p w:rsidR="00236AD7" w:rsidRDefault="00797BB4">
      <w:pPr>
        <w:pStyle w:val="FigureTableNoteSource"/>
      </w:pPr>
      <w:r>
        <w:t>Image: Aquenal Pty Ltd.</w:t>
      </w:r>
    </w:p>
    <w:p w:rsidR="00236AD7" w:rsidRDefault="00797BB4">
      <w:pPr>
        <w:pStyle w:val="Heading3"/>
        <w:rPr>
          <w:rFonts w:eastAsiaTheme="minorEastAsia"/>
          <w:lang w:eastAsia="ja-JP"/>
        </w:rPr>
      </w:pPr>
      <w:bookmarkStart w:id="21" w:name="_Toc531771350"/>
      <w:r>
        <w:rPr>
          <w:rFonts w:eastAsiaTheme="minorEastAsia"/>
          <w:lang w:eastAsia="ja-JP"/>
        </w:rPr>
        <w:t>During fishing activities</w:t>
      </w:r>
      <w:bookmarkEnd w:id="21"/>
    </w:p>
    <w:p w:rsidR="00236AD7" w:rsidRDefault="00797BB4">
      <w:pPr>
        <w:rPr>
          <w:lang w:eastAsia="ja-JP"/>
        </w:rPr>
      </w:pPr>
      <w:r>
        <w:rPr>
          <w:lang w:eastAsia="ja-JP"/>
        </w:rPr>
        <w:t>Divers should ensure that biological material entangled in dive gear is not transported to other dive sites.</w:t>
      </w:r>
    </w:p>
    <w:p w:rsidR="00236AD7" w:rsidRDefault="00797BB4">
      <w:pPr>
        <w:pStyle w:val="ListBullet"/>
        <w:rPr>
          <w:lang w:eastAsia="ja-JP"/>
        </w:rPr>
      </w:pPr>
      <w:r>
        <w:rPr>
          <w:lang w:eastAsia="ja-JP"/>
        </w:rPr>
        <w:t>Use locally sourced bait wherever possible to prevent the introduction of pests and diseases.</w:t>
      </w:r>
    </w:p>
    <w:p w:rsidR="00236AD7" w:rsidRDefault="00797BB4">
      <w:pPr>
        <w:pStyle w:val="ListBullet"/>
        <w:rPr>
          <w:lang w:eastAsia="ja-JP"/>
        </w:rPr>
      </w:pPr>
      <w:r>
        <w:rPr>
          <w:lang w:eastAsia="ja-JP"/>
        </w:rPr>
        <w:t>Return bycatch to the sea as near as possible to the point of capture.</w:t>
      </w:r>
    </w:p>
    <w:p w:rsidR="00236AD7" w:rsidRDefault="00797BB4">
      <w:pPr>
        <w:pStyle w:val="ListBullet"/>
        <w:rPr>
          <w:lang w:eastAsia="ja-JP"/>
        </w:rPr>
      </w:pPr>
      <w:r>
        <w:rPr>
          <w:lang w:eastAsia="ja-JP"/>
        </w:rPr>
        <w:t>If gear is cleaned in port dispose of biological waste at on-shore facilities.</w:t>
      </w:r>
    </w:p>
    <w:p w:rsidR="00236AD7" w:rsidRDefault="00797BB4">
      <w:pPr>
        <w:pStyle w:val="ListBullet"/>
        <w:rPr>
          <w:lang w:eastAsia="ja-JP"/>
        </w:rPr>
      </w:pPr>
      <w:r>
        <w:rPr>
          <w:lang w:eastAsia="ja-JP"/>
        </w:rPr>
        <w:t>Streaming of nets should be undertaken as close as possible to fishing grounds.</w:t>
      </w:r>
    </w:p>
    <w:p w:rsidR="00236AD7" w:rsidRDefault="00797BB4">
      <w:pPr>
        <w:pStyle w:val="ListBullet2"/>
        <w:rPr>
          <w:lang w:eastAsia="ja-JP"/>
        </w:rPr>
      </w:pPr>
      <w:r>
        <w:rPr>
          <w:lang w:eastAsia="ja-JP"/>
        </w:rPr>
        <w:t>Nets should be dried out regularly or prior to transfer to another boat to ensure living biological matter is not translocated. Be aware that streaming of nets by trawlers has the potential to move marine pests around. If you know that a marine pest is in your area or you suspect one might be, do not stream your nets to clean them.</w:t>
      </w:r>
    </w:p>
    <w:p w:rsidR="00236AD7" w:rsidRDefault="00797BB4">
      <w:pPr>
        <w:pStyle w:val="Caption"/>
      </w:pPr>
      <w:bookmarkStart w:id="22" w:name="_Toc531006806"/>
      <w:bookmarkStart w:id="23" w:name="_Toc531772016"/>
      <w:r>
        <w:t xml:space="preserve">Photo </w:t>
      </w:r>
      <w:r>
        <w:rPr>
          <w:noProof/>
        </w:rPr>
        <w:fldChar w:fldCharType="begin"/>
      </w:r>
      <w:r>
        <w:rPr>
          <w:noProof/>
        </w:rPr>
        <w:instrText xml:space="preserve"> SEQ Photo \* ARABIC </w:instrText>
      </w:r>
      <w:r>
        <w:rPr>
          <w:noProof/>
        </w:rPr>
        <w:fldChar w:fldCharType="separate"/>
      </w:r>
      <w:r w:rsidR="004B65A9">
        <w:rPr>
          <w:noProof/>
        </w:rPr>
        <w:t>5</w:t>
      </w:r>
      <w:r>
        <w:rPr>
          <w:noProof/>
        </w:rPr>
        <w:fldChar w:fldCharType="end"/>
      </w:r>
      <w:r>
        <w:t xml:space="preserve"> Fishing nets with captured seaweed and other biological debris</w:t>
      </w:r>
      <w:bookmarkEnd w:id="22"/>
      <w:bookmarkEnd w:id="23"/>
    </w:p>
    <w:p w:rsidR="00236AD7" w:rsidRDefault="00797BB4">
      <w:r>
        <w:rPr>
          <w:noProof/>
          <w:lang w:eastAsia="en-AU"/>
        </w:rPr>
        <w:drawing>
          <wp:inline distT="0" distB="0" distL="0" distR="0">
            <wp:extent cx="4253948" cy="4165848"/>
            <wp:effectExtent l="0" t="0" r="0" b="635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rotWithShape="1">
                    <a:blip r:embed="rId27"/>
                    <a:srcRect t="-1" b="21957"/>
                    <a:stretch/>
                  </pic:blipFill>
                  <pic:spPr bwMode="auto">
                    <a:xfrm>
                      <a:off x="0" y="0"/>
                      <a:ext cx="4286648" cy="4197871"/>
                    </a:xfrm>
                    <a:prstGeom prst="rect">
                      <a:avLst/>
                    </a:prstGeom>
                    <a:ln>
                      <a:noFill/>
                    </a:ln>
                    <a:extLst>
                      <a:ext uri="{53640926-AAD7-44D8-BBD7-CCE9431645EC}">
                        <a14:shadowObscured xmlns:a14="http://schemas.microsoft.com/office/drawing/2010/main"/>
                      </a:ext>
                    </a:extLst>
                  </pic:spPr>
                </pic:pic>
              </a:graphicData>
            </a:graphic>
          </wp:inline>
        </w:drawing>
      </w:r>
    </w:p>
    <w:p w:rsidR="00236AD7" w:rsidRDefault="00797BB4">
      <w:pPr>
        <w:pStyle w:val="FigureTableNoteSource"/>
      </w:pPr>
      <w:r>
        <w:t>Image: Aquenal Pty Ltd.</w:t>
      </w:r>
    </w:p>
    <w:p w:rsidR="00236AD7" w:rsidRDefault="00797BB4">
      <w:pPr>
        <w:pStyle w:val="Heading3"/>
        <w:rPr>
          <w:lang w:eastAsia="ja-JP"/>
        </w:rPr>
      </w:pPr>
      <w:bookmarkStart w:id="24" w:name="_Toc531771351"/>
      <w:r>
        <w:rPr>
          <w:lang w:eastAsia="ja-JP"/>
        </w:rPr>
        <w:t>Managing live tanks and well ballast systems</w:t>
      </w:r>
      <w:bookmarkEnd w:id="24"/>
    </w:p>
    <w:p w:rsidR="00236AD7" w:rsidRDefault="00797BB4">
      <w:pPr>
        <w:pStyle w:val="ListBullet"/>
        <w:rPr>
          <w:lang w:eastAsia="ja-JP"/>
        </w:rPr>
      </w:pPr>
      <w:r>
        <w:rPr>
          <w:lang w:eastAsia="ja-JP"/>
        </w:rPr>
        <w:t>Ballast water should be exchanged in accordance with the Australian Ballast Water Management requirements.</w:t>
      </w:r>
    </w:p>
    <w:p w:rsidR="00236AD7" w:rsidRDefault="00797BB4">
      <w:pPr>
        <w:pStyle w:val="ListBullet"/>
        <w:rPr>
          <w:lang w:eastAsia="ja-JP"/>
        </w:rPr>
      </w:pPr>
      <w:r>
        <w:rPr>
          <w:lang w:eastAsia="ja-JP"/>
        </w:rPr>
        <w:t>Regularly clean and check live tanks, live wells and well holes for marine pests or biological matter.</w:t>
      </w:r>
    </w:p>
    <w:p w:rsidR="00236AD7" w:rsidRDefault="00797BB4">
      <w:pPr>
        <w:pStyle w:val="Heading2"/>
      </w:pPr>
      <w:bookmarkStart w:id="25" w:name="_Toc531771352"/>
      <w:r>
        <w:t>Reporting and emergency responses</w:t>
      </w:r>
      <w:bookmarkEnd w:id="25"/>
    </w:p>
    <w:p w:rsidR="00236AD7" w:rsidRDefault="00797BB4">
      <w:pPr>
        <w:pStyle w:val="Heading3"/>
        <w:rPr>
          <w:rFonts w:eastAsiaTheme="minorEastAsia"/>
          <w:lang w:eastAsia="ja-JP"/>
        </w:rPr>
      </w:pPr>
      <w:bookmarkStart w:id="26" w:name="_Toc531771353"/>
      <w:r>
        <w:rPr>
          <w:rFonts w:eastAsiaTheme="minorEastAsia"/>
          <w:lang w:eastAsia="ja-JP"/>
        </w:rPr>
        <w:t>Emergency pest outbreaks</w:t>
      </w:r>
      <w:bookmarkEnd w:id="26"/>
    </w:p>
    <w:p w:rsidR="00236AD7" w:rsidRDefault="00797BB4">
      <w:pPr>
        <w:rPr>
          <w:lang w:eastAsia="ja-JP"/>
        </w:rPr>
      </w:pPr>
      <w:r>
        <w:rPr>
          <w:lang w:eastAsia="ja-JP"/>
        </w:rPr>
        <w:t>If a marine pest outbreak occurs, additional measures such as reporting of voyage plans or restrictions to specific ports or areas may be required. These would be broadcast by relevant state/territory authorities and may be managed on a fleet-by-fleet basis. Your state/territory authority will inform you of the details of the particular marine pest and the outbreak.</w:t>
      </w:r>
    </w:p>
    <w:p w:rsidR="00236AD7" w:rsidRDefault="00797BB4">
      <w:pPr>
        <w:rPr>
          <w:lang w:eastAsia="ja-JP"/>
        </w:rPr>
      </w:pPr>
      <w:r>
        <w:rPr>
          <w:lang w:eastAsia="ja-JP"/>
        </w:rPr>
        <w:t>You may be requested to help in the event of a response to an emergency situation such as a marine pest outbreak.</w:t>
      </w:r>
    </w:p>
    <w:p w:rsidR="00236AD7" w:rsidRDefault="00797BB4">
      <w:pPr>
        <w:pStyle w:val="Heading3"/>
        <w:rPr>
          <w:rFonts w:eastAsiaTheme="minorEastAsia"/>
          <w:lang w:eastAsia="ja-JP"/>
        </w:rPr>
      </w:pPr>
      <w:bookmarkStart w:id="27" w:name="_Toc531771354"/>
      <w:r>
        <w:rPr>
          <w:rFonts w:eastAsiaTheme="minorEastAsia"/>
          <w:lang w:eastAsia="ja-JP"/>
        </w:rPr>
        <w:t>Reporting interactions with marine pests</w:t>
      </w:r>
      <w:bookmarkEnd w:id="27"/>
    </w:p>
    <w:p w:rsidR="00236AD7" w:rsidRDefault="00797BB4">
      <w:r>
        <w:t>Be aware of encounters with unidentified organisms, known marine pests or potential marine pests that may lead to the accidental movement of species. Signs of a suspected marine pest could include unusually heavy biofouling, dominance of the fouling by one species, or a 'new' species not seen before in your region.</w:t>
      </w:r>
    </w:p>
    <w:p w:rsidR="00236AD7" w:rsidRDefault="00797BB4">
      <w:r>
        <w:t xml:space="preserve">Report any new sightings of these species or any other unusual species to the relevant local authority. Call your local authority if you are concerned about a particular species (see the </w:t>
      </w:r>
      <w:hyperlink r:id="rId28" w:history="1">
        <w:r>
          <w:rPr>
            <w:rStyle w:val="Hyperlink"/>
          </w:rPr>
          <w:t>Marine Pests</w:t>
        </w:r>
      </w:hyperlink>
      <w:r>
        <w:t xml:space="preserve"> website for contact details).</w:t>
      </w:r>
    </w:p>
    <w:p w:rsidR="00236AD7" w:rsidRDefault="00797BB4">
      <w:r>
        <w:t>Be aware of marine pest infestations in your fishing grounds and minimise the risk of moving these species around.</w:t>
      </w:r>
    </w:p>
    <w:p w:rsidR="00236AD7" w:rsidRDefault="00797BB4">
      <w:r>
        <w:t>If in doubt, keep a sample of the marine pest of concern. Freeze the specimen and hand it to the relevant authority as soon as possible.</w:t>
      </w:r>
    </w:p>
    <w:p w:rsidR="00236AD7" w:rsidRDefault="00797BB4">
      <w:r>
        <w:t>Time, date, location, depth and population details should be recorded when a suspected outbreak is noticed in a new area.</w:t>
      </w:r>
    </w:p>
    <w:p w:rsidR="00236AD7" w:rsidRDefault="00797BB4">
      <w:pPr>
        <w:pStyle w:val="Heading2"/>
        <w:numPr>
          <w:ilvl w:val="0"/>
          <w:numId w:val="0"/>
        </w:numPr>
        <w:ind w:left="851" w:hanging="851"/>
      </w:pPr>
      <w:bookmarkStart w:id="28" w:name="_Toc531771355"/>
      <w:r>
        <w:t>Glossary</w:t>
      </w:r>
      <w:bookmarkEnd w:id="28"/>
    </w:p>
    <w:tbl>
      <w:tblPr>
        <w:tblW w:w="8640" w:type="dxa"/>
        <w:tblInd w:w="108" w:type="dxa"/>
        <w:tblLook w:val="0000" w:firstRow="0" w:lastRow="0" w:firstColumn="0" w:lastColumn="0" w:noHBand="0" w:noVBand="0"/>
      </w:tblPr>
      <w:tblGrid>
        <w:gridCol w:w="1856"/>
        <w:gridCol w:w="6784"/>
      </w:tblGrid>
      <w:tr w:rsidR="00236AD7">
        <w:trPr>
          <w:cantSplit/>
          <w:tblHeader/>
        </w:trPr>
        <w:tc>
          <w:tcPr>
            <w:tcW w:w="1856" w:type="dxa"/>
            <w:tcBorders>
              <w:top w:val="nil"/>
              <w:left w:val="nil"/>
              <w:bottom w:val="nil"/>
              <w:right w:val="nil"/>
            </w:tcBorders>
            <w:shd w:val="clear" w:color="auto" w:fill="auto"/>
            <w:noWrap/>
            <w:vAlign w:val="bottom"/>
          </w:tcPr>
          <w:p w:rsidR="00236AD7" w:rsidRDefault="00797BB4">
            <w:pPr>
              <w:pStyle w:val="TableHeading"/>
            </w:pPr>
            <w:r>
              <w:t>Term</w:t>
            </w:r>
          </w:p>
        </w:tc>
        <w:tc>
          <w:tcPr>
            <w:tcW w:w="6784" w:type="dxa"/>
            <w:tcBorders>
              <w:top w:val="nil"/>
              <w:left w:val="nil"/>
              <w:bottom w:val="nil"/>
              <w:right w:val="nil"/>
            </w:tcBorders>
            <w:shd w:val="clear" w:color="auto" w:fill="auto"/>
            <w:noWrap/>
            <w:vAlign w:val="bottom"/>
          </w:tcPr>
          <w:p w:rsidR="00236AD7" w:rsidRDefault="00797BB4">
            <w:pPr>
              <w:pStyle w:val="TableHeading"/>
            </w:pPr>
            <w:r>
              <w:t>Definition</w:t>
            </w:r>
          </w:p>
        </w:tc>
      </w:tr>
      <w:tr w:rsidR="00236AD7">
        <w:trPr>
          <w:trHeight w:val="397"/>
        </w:trPr>
        <w:tc>
          <w:tcPr>
            <w:tcW w:w="1856" w:type="dxa"/>
            <w:tcBorders>
              <w:top w:val="nil"/>
              <w:left w:val="nil"/>
              <w:bottom w:val="nil"/>
              <w:right w:val="nil"/>
            </w:tcBorders>
            <w:shd w:val="clear" w:color="auto" w:fill="auto"/>
            <w:noWrap/>
            <w:vAlign w:val="bottom"/>
          </w:tcPr>
          <w:p w:rsidR="00236AD7" w:rsidRDefault="00797BB4">
            <w:pPr>
              <w:pStyle w:val="TableText"/>
            </w:pPr>
            <w:r>
              <w:t>antifouling</w:t>
            </w:r>
          </w:p>
        </w:tc>
        <w:tc>
          <w:tcPr>
            <w:tcW w:w="6784" w:type="dxa"/>
            <w:tcBorders>
              <w:top w:val="nil"/>
              <w:left w:val="nil"/>
              <w:bottom w:val="nil"/>
              <w:right w:val="nil"/>
            </w:tcBorders>
            <w:shd w:val="clear" w:color="auto" w:fill="auto"/>
            <w:noWrap/>
            <w:vAlign w:val="bottom"/>
          </w:tcPr>
          <w:p w:rsidR="00236AD7" w:rsidRDefault="00797BB4">
            <w:pPr>
              <w:pStyle w:val="TableText"/>
            </w:pPr>
            <w:r>
              <w:t>Coatings on underwater superstructures that reduce the ability for organisms to anchor to the structure as a substrate.</w:t>
            </w:r>
          </w:p>
        </w:tc>
      </w:tr>
      <w:tr w:rsidR="00236AD7">
        <w:trPr>
          <w:trHeight w:val="397"/>
        </w:trPr>
        <w:tc>
          <w:tcPr>
            <w:tcW w:w="1856" w:type="dxa"/>
            <w:tcBorders>
              <w:top w:val="nil"/>
              <w:left w:val="nil"/>
              <w:bottom w:val="nil"/>
              <w:right w:val="nil"/>
            </w:tcBorders>
            <w:shd w:val="clear" w:color="auto" w:fill="auto"/>
            <w:noWrap/>
            <w:vAlign w:val="bottom"/>
          </w:tcPr>
          <w:p w:rsidR="00236AD7" w:rsidRDefault="00797BB4">
            <w:pPr>
              <w:pStyle w:val="TableText"/>
            </w:pPr>
            <w:r>
              <w:t>ANZECC</w:t>
            </w:r>
          </w:p>
        </w:tc>
        <w:tc>
          <w:tcPr>
            <w:tcW w:w="6784" w:type="dxa"/>
            <w:tcBorders>
              <w:top w:val="nil"/>
              <w:left w:val="nil"/>
              <w:bottom w:val="nil"/>
              <w:right w:val="nil"/>
            </w:tcBorders>
            <w:shd w:val="clear" w:color="auto" w:fill="auto"/>
            <w:noWrap/>
            <w:vAlign w:val="bottom"/>
          </w:tcPr>
          <w:p w:rsidR="00236AD7" w:rsidRDefault="00797BB4">
            <w:pPr>
              <w:pStyle w:val="TableText"/>
            </w:pPr>
            <w:r>
              <w:t>Australian and New Zealand Environment and Conservation Council</w:t>
            </w:r>
          </w:p>
        </w:tc>
      </w:tr>
      <w:tr w:rsidR="00236AD7">
        <w:trPr>
          <w:trHeight w:val="397"/>
        </w:trPr>
        <w:tc>
          <w:tcPr>
            <w:tcW w:w="1856" w:type="dxa"/>
            <w:tcBorders>
              <w:top w:val="nil"/>
              <w:left w:val="nil"/>
              <w:bottom w:val="nil"/>
              <w:right w:val="nil"/>
            </w:tcBorders>
            <w:shd w:val="clear" w:color="auto" w:fill="auto"/>
            <w:noWrap/>
            <w:vAlign w:val="bottom"/>
          </w:tcPr>
          <w:p w:rsidR="00236AD7" w:rsidRDefault="00797BB4">
            <w:pPr>
              <w:pStyle w:val="TableText"/>
            </w:pPr>
            <w:r>
              <w:t>biofouling</w:t>
            </w:r>
          </w:p>
        </w:tc>
        <w:tc>
          <w:tcPr>
            <w:tcW w:w="6784" w:type="dxa"/>
            <w:tcBorders>
              <w:top w:val="nil"/>
              <w:left w:val="nil"/>
              <w:bottom w:val="nil"/>
              <w:right w:val="nil"/>
            </w:tcBorders>
            <w:shd w:val="clear" w:color="auto" w:fill="auto"/>
            <w:noWrap/>
            <w:vAlign w:val="bottom"/>
          </w:tcPr>
          <w:p w:rsidR="00236AD7" w:rsidRDefault="00797BB4">
            <w:pPr>
              <w:pStyle w:val="TableText"/>
            </w:pPr>
            <w:r>
              <w:t>The attachment of marine organisms to any part of a vessel, or any equipment attached to or on board the vessel, fishing gear, mooring devices and the like.</w:t>
            </w:r>
          </w:p>
        </w:tc>
      </w:tr>
      <w:tr w:rsidR="00236AD7">
        <w:trPr>
          <w:trHeight w:val="397"/>
        </w:trPr>
        <w:tc>
          <w:tcPr>
            <w:tcW w:w="1856" w:type="dxa"/>
            <w:tcBorders>
              <w:top w:val="nil"/>
              <w:left w:val="nil"/>
              <w:bottom w:val="nil"/>
              <w:right w:val="nil"/>
            </w:tcBorders>
            <w:shd w:val="clear" w:color="auto" w:fill="auto"/>
            <w:noWrap/>
            <w:vAlign w:val="bottom"/>
          </w:tcPr>
          <w:p w:rsidR="00236AD7" w:rsidRDefault="00797BB4">
            <w:pPr>
              <w:pStyle w:val="TableText"/>
            </w:pPr>
            <w:r>
              <w:t>domestic fishing vessels</w:t>
            </w:r>
          </w:p>
        </w:tc>
        <w:tc>
          <w:tcPr>
            <w:tcW w:w="6784" w:type="dxa"/>
            <w:tcBorders>
              <w:top w:val="nil"/>
              <w:left w:val="nil"/>
              <w:bottom w:val="nil"/>
              <w:right w:val="nil"/>
            </w:tcBorders>
            <w:shd w:val="clear" w:color="auto" w:fill="auto"/>
            <w:noWrap/>
            <w:vAlign w:val="bottom"/>
          </w:tcPr>
          <w:p w:rsidR="00236AD7" w:rsidRDefault="00797BB4">
            <w:pPr>
              <w:pStyle w:val="TableText"/>
            </w:pPr>
            <w:r>
              <w:t>Vessels that operate within Australian waters under fishing vessels Australian jurisdictions (Australian fishing vessels).</w:t>
            </w:r>
          </w:p>
        </w:tc>
      </w:tr>
      <w:tr w:rsidR="00236AD7">
        <w:trPr>
          <w:trHeight w:val="397"/>
        </w:trPr>
        <w:tc>
          <w:tcPr>
            <w:tcW w:w="1856" w:type="dxa"/>
            <w:tcBorders>
              <w:top w:val="nil"/>
              <w:left w:val="nil"/>
              <w:bottom w:val="nil"/>
              <w:right w:val="nil"/>
            </w:tcBorders>
            <w:shd w:val="clear" w:color="auto" w:fill="auto"/>
            <w:noWrap/>
            <w:vAlign w:val="bottom"/>
          </w:tcPr>
          <w:p w:rsidR="00236AD7" w:rsidRDefault="00797BB4">
            <w:pPr>
              <w:pStyle w:val="TableText"/>
            </w:pPr>
            <w:r>
              <w:t>entrainment</w:t>
            </w:r>
          </w:p>
        </w:tc>
        <w:tc>
          <w:tcPr>
            <w:tcW w:w="6784" w:type="dxa"/>
            <w:tcBorders>
              <w:top w:val="nil"/>
              <w:left w:val="nil"/>
              <w:bottom w:val="nil"/>
              <w:right w:val="nil"/>
            </w:tcBorders>
            <w:shd w:val="clear" w:color="auto" w:fill="auto"/>
            <w:noWrap/>
            <w:vAlign w:val="bottom"/>
          </w:tcPr>
          <w:p w:rsidR="00236AD7" w:rsidRDefault="00797BB4">
            <w:pPr>
              <w:pStyle w:val="TableText"/>
            </w:pPr>
            <w:r>
              <w:t>The pick-up of a potential marine pest by a vessel, in water in the vessel, or attached to the hull.</w:t>
            </w:r>
          </w:p>
        </w:tc>
      </w:tr>
      <w:tr w:rsidR="00236AD7">
        <w:trPr>
          <w:trHeight w:val="397"/>
        </w:trPr>
        <w:tc>
          <w:tcPr>
            <w:tcW w:w="1856" w:type="dxa"/>
            <w:tcBorders>
              <w:top w:val="nil"/>
              <w:left w:val="nil"/>
              <w:bottom w:val="nil"/>
              <w:right w:val="nil"/>
            </w:tcBorders>
            <w:shd w:val="clear" w:color="auto" w:fill="auto"/>
            <w:noWrap/>
            <w:vAlign w:val="bottom"/>
          </w:tcPr>
          <w:p w:rsidR="00236AD7" w:rsidRDefault="00797BB4">
            <w:pPr>
              <w:pStyle w:val="TableText"/>
            </w:pPr>
            <w:r>
              <w:t>establishment</w:t>
            </w:r>
          </w:p>
        </w:tc>
        <w:tc>
          <w:tcPr>
            <w:tcW w:w="6784" w:type="dxa"/>
            <w:tcBorders>
              <w:top w:val="nil"/>
              <w:left w:val="nil"/>
              <w:bottom w:val="nil"/>
              <w:right w:val="nil"/>
            </w:tcBorders>
            <w:shd w:val="clear" w:color="auto" w:fill="auto"/>
            <w:noWrap/>
            <w:vAlign w:val="bottom"/>
          </w:tcPr>
          <w:p w:rsidR="00236AD7" w:rsidRDefault="00797BB4">
            <w:pPr>
              <w:pStyle w:val="TableText"/>
            </w:pPr>
            <w:r>
              <w:t>The potential pest separates from the vessel and survives in the new locality.</w:t>
            </w:r>
          </w:p>
        </w:tc>
      </w:tr>
      <w:tr w:rsidR="00236AD7">
        <w:trPr>
          <w:trHeight w:val="397"/>
        </w:trPr>
        <w:tc>
          <w:tcPr>
            <w:tcW w:w="1856" w:type="dxa"/>
            <w:tcBorders>
              <w:top w:val="nil"/>
              <w:left w:val="nil"/>
              <w:bottom w:val="nil"/>
              <w:right w:val="nil"/>
            </w:tcBorders>
            <w:shd w:val="clear" w:color="auto" w:fill="auto"/>
            <w:noWrap/>
            <w:vAlign w:val="bottom"/>
          </w:tcPr>
          <w:p w:rsidR="00236AD7" w:rsidRDefault="00797BB4">
            <w:pPr>
              <w:pStyle w:val="TableText"/>
            </w:pPr>
            <w:r>
              <w:t>IWS</w:t>
            </w:r>
          </w:p>
        </w:tc>
        <w:tc>
          <w:tcPr>
            <w:tcW w:w="6784" w:type="dxa"/>
            <w:tcBorders>
              <w:top w:val="nil"/>
              <w:left w:val="nil"/>
              <w:bottom w:val="nil"/>
              <w:right w:val="nil"/>
            </w:tcBorders>
            <w:shd w:val="clear" w:color="auto" w:fill="auto"/>
            <w:noWrap/>
            <w:vAlign w:val="bottom"/>
          </w:tcPr>
          <w:p w:rsidR="00236AD7" w:rsidRDefault="00797BB4">
            <w:pPr>
              <w:pStyle w:val="TableText"/>
            </w:pPr>
            <w:r>
              <w:t>Internal water systems that carry raw water in a vessel for cooling or cleaning uses.</w:t>
            </w:r>
          </w:p>
        </w:tc>
      </w:tr>
      <w:tr w:rsidR="00236AD7">
        <w:trPr>
          <w:trHeight w:val="397"/>
        </w:trPr>
        <w:tc>
          <w:tcPr>
            <w:tcW w:w="1856" w:type="dxa"/>
            <w:tcBorders>
              <w:top w:val="nil"/>
              <w:left w:val="nil"/>
              <w:bottom w:val="nil"/>
              <w:right w:val="nil"/>
            </w:tcBorders>
            <w:shd w:val="clear" w:color="auto" w:fill="auto"/>
            <w:noWrap/>
            <w:vAlign w:val="bottom"/>
          </w:tcPr>
          <w:p w:rsidR="00236AD7" w:rsidRDefault="00797BB4">
            <w:pPr>
              <w:pStyle w:val="TableText"/>
            </w:pPr>
            <w:r>
              <w:t>marine pest</w:t>
            </w:r>
          </w:p>
        </w:tc>
        <w:tc>
          <w:tcPr>
            <w:tcW w:w="6784" w:type="dxa"/>
            <w:tcBorders>
              <w:top w:val="nil"/>
              <w:left w:val="nil"/>
              <w:bottom w:val="nil"/>
              <w:right w:val="nil"/>
            </w:tcBorders>
            <w:shd w:val="clear" w:color="auto" w:fill="auto"/>
            <w:noWrap/>
            <w:vAlign w:val="bottom"/>
          </w:tcPr>
          <w:p w:rsidR="00236AD7" w:rsidRDefault="00797BB4">
            <w:pPr>
              <w:pStyle w:val="TableText"/>
            </w:pPr>
            <w:r>
              <w:t>Any exotic marine species that may pose a threat to Australia's marine environment or industry, if introduced, established or spread. (Where exotic marine species is defined as any species not normally considered to occur and that may or may not be present in Australia's marine environment).</w:t>
            </w:r>
          </w:p>
        </w:tc>
      </w:tr>
      <w:tr w:rsidR="00236AD7">
        <w:trPr>
          <w:trHeight w:val="397"/>
        </w:trPr>
        <w:tc>
          <w:tcPr>
            <w:tcW w:w="1856" w:type="dxa"/>
            <w:tcBorders>
              <w:top w:val="nil"/>
              <w:left w:val="nil"/>
              <w:bottom w:val="nil"/>
              <w:right w:val="nil"/>
            </w:tcBorders>
            <w:shd w:val="clear" w:color="auto" w:fill="auto"/>
            <w:noWrap/>
            <w:vAlign w:val="bottom"/>
          </w:tcPr>
          <w:p w:rsidR="00236AD7" w:rsidRDefault="00797BB4">
            <w:pPr>
              <w:pStyle w:val="TableText"/>
            </w:pPr>
            <w:r>
              <w:t>niche areas/niches</w:t>
            </w:r>
          </w:p>
        </w:tc>
        <w:tc>
          <w:tcPr>
            <w:tcW w:w="6784" w:type="dxa"/>
            <w:tcBorders>
              <w:top w:val="nil"/>
              <w:left w:val="nil"/>
              <w:bottom w:val="nil"/>
              <w:right w:val="nil"/>
            </w:tcBorders>
            <w:shd w:val="clear" w:color="auto" w:fill="auto"/>
            <w:noWrap/>
            <w:vAlign w:val="bottom"/>
          </w:tcPr>
          <w:p w:rsidR="00236AD7" w:rsidRDefault="00797BB4">
            <w:pPr>
              <w:pStyle w:val="TableText"/>
            </w:pPr>
            <w:r>
              <w:t>A protected or refuge area of relatively constant conditions in which marine organisms can escape detection or drying out. Also areas that are not coated in antifouling paint or areas where antifouling coating breakdown is common enabling the settlement of marine organisms.</w:t>
            </w:r>
          </w:p>
        </w:tc>
      </w:tr>
      <w:tr w:rsidR="00236AD7">
        <w:trPr>
          <w:trHeight w:val="397"/>
        </w:trPr>
        <w:tc>
          <w:tcPr>
            <w:tcW w:w="1856" w:type="dxa"/>
            <w:tcBorders>
              <w:top w:val="nil"/>
              <w:left w:val="nil"/>
              <w:bottom w:val="nil"/>
              <w:right w:val="nil"/>
            </w:tcBorders>
            <w:shd w:val="clear" w:color="auto" w:fill="auto"/>
            <w:noWrap/>
            <w:vAlign w:val="bottom"/>
          </w:tcPr>
          <w:p w:rsidR="00236AD7" w:rsidRDefault="00797BB4">
            <w:pPr>
              <w:pStyle w:val="TableText"/>
            </w:pPr>
            <w:r>
              <w:t>strainer box/strum boxes</w:t>
            </w:r>
          </w:p>
        </w:tc>
        <w:tc>
          <w:tcPr>
            <w:tcW w:w="6784" w:type="dxa"/>
            <w:tcBorders>
              <w:top w:val="nil"/>
              <w:left w:val="nil"/>
              <w:bottom w:val="nil"/>
              <w:right w:val="nil"/>
            </w:tcBorders>
            <w:shd w:val="clear" w:color="auto" w:fill="auto"/>
            <w:noWrap/>
            <w:vAlign w:val="bottom"/>
          </w:tcPr>
          <w:p w:rsidR="00236AD7" w:rsidRDefault="00797BB4">
            <w:pPr>
              <w:pStyle w:val="TableText"/>
            </w:pPr>
            <w:r>
              <w:t>The enlarged terminal on the suction end of a pipe and forming a strainer, which prevents the entrance of material liable to choke the pipe.</w:t>
            </w:r>
          </w:p>
        </w:tc>
      </w:tr>
      <w:tr w:rsidR="00236AD7">
        <w:trPr>
          <w:trHeight w:val="397"/>
        </w:trPr>
        <w:tc>
          <w:tcPr>
            <w:tcW w:w="1856" w:type="dxa"/>
            <w:tcBorders>
              <w:top w:val="nil"/>
              <w:left w:val="nil"/>
              <w:bottom w:val="nil"/>
              <w:right w:val="nil"/>
            </w:tcBorders>
            <w:shd w:val="clear" w:color="auto" w:fill="auto"/>
            <w:noWrap/>
            <w:vAlign w:val="bottom"/>
          </w:tcPr>
          <w:p w:rsidR="00236AD7" w:rsidRDefault="00797BB4">
            <w:pPr>
              <w:pStyle w:val="TableText"/>
            </w:pPr>
            <w:r>
              <w:t>TBT</w:t>
            </w:r>
          </w:p>
        </w:tc>
        <w:tc>
          <w:tcPr>
            <w:tcW w:w="6784" w:type="dxa"/>
            <w:tcBorders>
              <w:top w:val="nil"/>
              <w:left w:val="nil"/>
              <w:bottom w:val="nil"/>
              <w:right w:val="nil"/>
            </w:tcBorders>
            <w:shd w:val="clear" w:color="auto" w:fill="auto"/>
            <w:noWrap/>
            <w:vAlign w:val="bottom"/>
          </w:tcPr>
          <w:p w:rsidR="00236AD7" w:rsidRDefault="00797BB4">
            <w:pPr>
              <w:pStyle w:val="TableText"/>
            </w:pPr>
            <w:r>
              <w:t>Tributyltin products widely used in antifouling products until recently. These products are now banned in Australia.</w:t>
            </w:r>
          </w:p>
        </w:tc>
      </w:tr>
      <w:tr w:rsidR="00236AD7">
        <w:trPr>
          <w:trHeight w:val="397"/>
        </w:trPr>
        <w:tc>
          <w:tcPr>
            <w:tcW w:w="1856" w:type="dxa"/>
            <w:tcBorders>
              <w:top w:val="nil"/>
              <w:left w:val="nil"/>
              <w:bottom w:val="nil"/>
              <w:right w:val="nil"/>
            </w:tcBorders>
            <w:shd w:val="clear" w:color="auto" w:fill="auto"/>
            <w:noWrap/>
            <w:vAlign w:val="bottom"/>
          </w:tcPr>
          <w:p w:rsidR="00236AD7" w:rsidRDefault="00797BB4">
            <w:pPr>
              <w:pStyle w:val="TableText"/>
            </w:pPr>
            <w:r>
              <w:t>translocation</w:t>
            </w:r>
          </w:p>
        </w:tc>
        <w:tc>
          <w:tcPr>
            <w:tcW w:w="6784" w:type="dxa"/>
            <w:tcBorders>
              <w:top w:val="nil"/>
              <w:left w:val="nil"/>
              <w:bottom w:val="nil"/>
              <w:right w:val="nil"/>
            </w:tcBorders>
            <w:shd w:val="clear" w:color="auto" w:fill="auto"/>
            <w:noWrap/>
            <w:vAlign w:val="bottom"/>
          </w:tcPr>
          <w:p w:rsidR="00236AD7" w:rsidRDefault="00797BB4">
            <w:pPr>
              <w:pStyle w:val="TableText"/>
            </w:pPr>
            <w:r>
              <w:t>The act of moving a marine pest from one locality to another.</w:t>
            </w:r>
          </w:p>
        </w:tc>
      </w:tr>
      <w:tr w:rsidR="00236AD7">
        <w:trPr>
          <w:trHeight w:val="397"/>
        </w:trPr>
        <w:tc>
          <w:tcPr>
            <w:tcW w:w="1856" w:type="dxa"/>
            <w:tcBorders>
              <w:top w:val="nil"/>
              <w:left w:val="nil"/>
              <w:bottom w:val="nil"/>
              <w:right w:val="nil"/>
            </w:tcBorders>
            <w:shd w:val="clear" w:color="auto" w:fill="auto"/>
            <w:noWrap/>
            <w:vAlign w:val="bottom"/>
          </w:tcPr>
          <w:p w:rsidR="00236AD7" w:rsidRDefault="00797BB4">
            <w:pPr>
              <w:pStyle w:val="TableText"/>
            </w:pPr>
            <w:r>
              <w:t>sector</w:t>
            </w:r>
          </w:p>
        </w:tc>
        <w:tc>
          <w:tcPr>
            <w:tcW w:w="6784" w:type="dxa"/>
            <w:tcBorders>
              <w:top w:val="nil"/>
              <w:left w:val="nil"/>
              <w:bottom w:val="nil"/>
              <w:right w:val="nil"/>
            </w:tcBorders>
            <w:shd w:val="clear" w:color="auto" w:fill="auto"/>
            <w:noWrap/>
            <w:vAlign w:val="bottom"/>
          </w:tcPr>
          <w:p w:rsidR="00236AD7" w:rsidRDefault="00797BB4">
            <w:pPr>
              <w:pStyle w:val="TableText"/>
            </w:pPr>
            <w:r>
              <w:t>Any marine based industry or recreational group capable of introducing or translocating an exotic marine species.</w:t>
            </w:r>
          </w:p>
        </w:tc>
      </w:tr>
      <w:tr w:rsidR="00236AD7">
        <w:trPr>
          <w:trHeight w:val="397"/>
        </w:trPr>
        <w:tc>
          <w:tcPr>
            <w:tcW w:w="1856" w:type="dxa"/>
            <w:tcBorders>
              <w:top w:val="nil"/>
              <w:left w:val="nil"/>
              <w:bottom w:val="nil"/>
              <w:right w:val="nil"/>
            </w:tcBorders>
            <w:shd w:val="clear" w:color="auto" w:fill="auto"/>
            <w:noWrap/>
            <w:vAlign w:val="bottom"/>
          </w:tcPr>
          <w:p w:rsidR="00236AD7" w:rsidRDefault="00797BB4">
            <w:pPr>
              <w:pStyle w:val="TableText"/>
            </w:pPr>
            <w:r>
              <w:t>well holes</w:t>
            </w:r>
          </w:p>
        </w:tc>
        <w:tc>
          <w:tcPr>
            <w:tcW w:w="6784" w:type="dxa"/>
            <w:tcBorders>
              <w:top w:val="nil"/>
              <w:left w:val="nil"/>
              <w:bottom w:val="nil"/>
              <w:right w:val="nil"/>
            </w:tcBorders>
            <w:shd w:val="clear" w:color="auto" w:fill="auto"/>
            <w:noWrap/>
            <w:vAlign w:val="bottom"/>
          </w:tcPr>
          <w:p w:rsidR="00236AD7" w:rsidRDefault="00797BB4">
            <w:pPr>
              <w:pStyle w:val="TableText"/>
            </w:pPr>
            <w:r>
              <w:t>Openings between live wells in vessels that allow circulation of seawater.</w:t>
            </w:r>
          </w:p>
        </w:tc>
      </w:tr>
    </w:tbl>
    <w:p w:rsidR="00236AD7" w:rsidRDefault="00797BB4">
      <w:pPr>
        <w:pStyle w:val="Heading2"/>
        <w:pageBreakBefore w:val="0"/>
        <w:numPr>
          <w:ilvl w:val="0"/>
          <w:numId w:val="0"/>
        </w:numPr>
        <w:spacing w:before="200"/>
        <w:ind w:left="851" w:hanging="851"/>
      </w:pPr>
      <w:bookmarkStart w:id="29" w:name="_Toc531771356"/>
      <w:r>
        <w:t>Contacts</w:t>
      </w:r>
      <w:bookmarkEnd w:id="29"/>
    </w:p>
    <w:p w:rsidR="00236AD7" w:rsidRDefault="00797BB4">
      <w:pPr>
        <w:rPr>
          <w:lang w:eastAsia="ja-JP"/>
        </w:rPr>
      </w:pPr>
      <w:r>
        <w:rPr>
          <w:lang w:eastAsia="ja-JP"/>
        </w:rPr>
        <w:t xml:space="preserve">For more information about marine pests and biofouling management guidelines contact your local state/territory fisheries officer or visit the </w:t>
      </w:r>
      <w:hyperlink r:id="rId29" w:history="1">
        <w:r>
          <w:rPr>
            <w:rStyle w:val="Hyperlink"/>
            <w:lang w:eastAsia="ja-JP"/>
          </w:rPr>
          <w:t>Marine Pests</w:t>
        </w:r>
      </w:hyperlink>
      <w:r>
        <w:rPr>
          <w:lang w:eastAsia="ja-JP"/>
        </w:rPr>
        <w:t xml:space="preserve"> website.</w:t>
      </w:r>
      <w:bookmarkStart w:id="30" w:name="_Appendix_A:_Guidelines"/>
      <w:bookmarkEnd w:id="30"/>
    </w:p>
    <w:sectPr w:rsidR="00236AD7">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AD7" w:rsidRDefault="00797BB4">
      <w:r>
        <w:separator/>
      </w:r>
    </w:p>
    <w:p w:rsidR="00236AD7" w:rsidRDefault="00236AD7"/>
    <w:p w:rsidR="00236AD7" w:rsidRDefault="00236AD7"/>
  </w:endnote>
  <w:endnote w:type="continuationSeparator" w:id="0">
    <w:p w:rsidR="00236AD7" w:rsidRDefault="00797BB4">
      <w:r>
        <w:continuationSeparator/>
      </w:r>
    </w:p>
    <w:p w:rsidR="00236AD7" w:rsidRDefault="00236AD7"/>
    <w:p w:rsidR="00236AD7" w:rsidRDefault="00236AD7"/>
  </w:endnote>
  <w:endnote w:type="continuationNotice" w:id="1">
    <w:p w:rsidR="00236AD7" w:rsidRDefault="00236AD7">
      <w:pPr>
        <w:pStyle w:val="Footer"/>
      </w:pPr>
    </w:p>
    <w:p w:rsidR="00236AD7" w:rsidRDefault="00236AD7"/>
    <w:p w:rsidR="00236AD7" w:rsidRDefault="00236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AD7" w:rsidRDefault="00797BB4">
    <w:pPr>
      <w:pStyle w:val="Footer"/>
    </w:pPr>
    <w:r>
      <w:t>Department of Agriculture and Water Resources</w:t>
    </w:r>
  </w:p>
  <w:p w:rsidR="00236AD7" w:rsidRDefault="00797BB4">
    <w:pPr>
      <w:pStyle w:val="Footer"/>
    </w:pPr>
    <w:r>
      <w:fldChar w:fldCharType="begin"/>
    </w:r>
    <w:r>
      <w:instrText xml:space="preserve"> PAGE   \* MERGEFORMAT </w:instrText>
    </w:r>
    <w:r>
      <w:fldChar w:fldCharType="separate"/>
    </w:r>
    <w:r w:rsidR="004B65A9">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AD7" w:rsidRDefault="00797BB4">
      <w:r>
        <w:separator/>
      </w:r>
    </w:p>
    <w:p w:rsidR="00236AD7" w:rsidRDefault="00236AD7"/>
    <w:p w:rsidR="00236AD7" w:rsidRDefault="00236AD7"/>
  </w:footnote>
  <w:footnote w:type="continuationSeparator" w:id="0">
    <w:p w:rsidR="00236AD7" w:rsidRDefault="00797BB4">
      <w:r>
        <w:continuationSeparator/>
      </w:r>
    </w:p>
    <w:p w:rsidR="00236AD7" w:rsidRDefault="00236AD7"/>
    <w:p w:rsidR="00236AD7" w:rsidRDefault="00236AD7"/>
  </w:footnote>
  <w:footnote w:type="continuationNotice" w:id="1">
    <w:p w:rsidR="00236AD7" w:rsidRDefault="00236AD7">
      <w:pPr>
        <w:pStyle w:val="Footer"/>
      </w:pPr>
    </w:p>
    <w:p w:rsidR="00236AD7" w:rsidRDefault="00236AD7"/>
    <w:p w:rsidR="00236AD7" w:rsidRDefault="00236A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AD7" w:rsidRDefault="00797BB4">
    <w:pPr>
      <w:pStyle w:val="Header"/>
    </w:pPr>
    <w:r>
      <w:t>National biofouling management guidelines for commercial fishing vessels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AD7" w:rsidRDefault="00797BB4">
    <w:pPr>
      <w:pStyle w:val="Header"/>
      <w:jc w:val="left"/>
    </w:pPr>
    <w:r>
      <w:rPr>
        <w:noProof/>
        <w:lang w:eastAsia="en-AU"/>
      </w:rPr>
      <w:drawing>
        <wp:anchor distT="0" distB="0" distL="114300" distR="114300" simplePos="0" relativeHeight="251659264" behindDoc="1" locked="0" layoutInCell="1" allowOverlap="1">
          <wp:simplePos x="0" y="0"/>
          <wp:positionH relativeFrom="column">
            <wp:posOffset>-928479</wp:posOffset>
          </wp:positionH>
          <wp:positionV relativeFrom="paragraph">
            <wp:posOffset>-416143</wp:posOffset>
          </wp:positionV>
          <wp:extent cx="7597467" cy="10746739"/>
          <wp:effectExtent l="0" t="0" r="3810" b="0"/>
          <wp:wrapNone/>
          <wp:docPr id="8" name="Picture 8" descr="Nationally agreed guidance material endorsed by the Marine Pest Sectoral Committee&#10;&#10;Published on the Australian Government Marine Pests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3072_0617_Legislation reform AO factsheet 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467" cy="107467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3C21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64AC5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58A2B0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E945E3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05ED84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8E89E1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2B56047C"/>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7980527"/>
    <w:multiLevelType w:val="multilevel"/>
    <w:tmpl w:val="B098440A"/>
    <w:styleLink w:val="headings"/>
    <w:lvl w:ilvl="0">
      <w:start w:val="1"/>
      <w:numFmt w:val="decimal"/>
      <w:pStyle w:val="Heading2"/>
      <w:lvlText w:val="%1"/>
      <w:lvlJc w:val="left"/>
      <w:pPr>
        <w:ind w:left="851" w:hanging="851"/>
      </w:pPr>
      <w:rPr>
        <w:rFonts w:hint="default"/>
        <w:b w:val="0"/>
        <w:bCs w:val="0"/>
        <w:i w:val="0"/>
        <w:iCs w:val="0"/>
        <w:caps w:val="0"/>
        <w:smallCaps w:val="0"/>
        <w:strike w:val="0"/>
        <w:dstrike w:val="0"/>
        <w:noProof w:val="0"/>
        <w:vanish w:val="0"/>
        <w:color w:val="049885"/>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851" w:hanging="851"/>
      </w:pPr>
      <w:rPr>
        <w:rFonts w:hint="default"/>
      </w:rPr>
    </w:lvl>
    <w:lvl w:ilvl="2">
      <w:start w:val="1"/>
      <w:numFmt w:val="decimal"/>
      <w:pStyle w:val="Heading4"/>
      <w:lvlText w:val="%1.%2.%3"/>
      <w:lvlJc w:val="left"/>
      <w:pPr>
        <w:ind w:left="851" w:hanging="851"/>
      </w:pPr>
      <w:rPr>
        <w:rFonts w:hint="default"/>
      </w:rPr>
    </w:lvl>
    <w:lvl w:ilvl="3">
      <w:start w:val="1"/>
      <w:numFmt w:val="decimal"/>
      <w:pStyle w:val="Heading5"/>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8" w15:restartNumberingAfterBreak="0">
    <w:nsid w:val="0C5E2F35"/>
    <w:multiLevelType w:val="multilevel"/>
    <w:tmpl w:val="533223D8"/>
    <w:numStyleLink w:val="Numberlist"/>
  </w:abstractNum>
  <w:abstractNum w:abstractNumId="9"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A328D5"/>
    <w:multiLevelType w:val="multilevel"/>
    <w:tmpl w:val="533223D8"/>
    <w:numStyleLink w:val="Numberlist"/>
  </w:abstractNum>
  <w:abstractNum w:abstractNumId="11" w15:restartNumberingAfterBreak="0">
    <w:nsid w:val="21E20078"/>
    <w:multiLevelType w:val="multilevel"/>
    <w:tmpl w:val="48D44014"/>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94A15FE"/>
    <w:multiLevelType w:val="multilevel"/>
    <w:tmpl w:val="D68C66C8"/>
    <w:lvl w:ilvl="0">
      <w:start w:val="1"/>
      <w:numFmt w:val="decimal"/>
      <w:lvlText w:val="%1"/>
      <w:lvlJc w:val="left"/>
      <w:pPr>
        <w:ind w:left="720" w:hanging="720"/>
      </w:pPr>
      <w:rPr>
        <w:rFonts w:hint="default"/>
        <w:b w:val="0"/>
        <w:bCs w:val="0"/>
        <w:i w:val="0"/>
        <w:iCs w:val="0"/>
        <w:caps w:val="0"/>
        <w:smallCaps w:val="0"/>
        <w:strike w:val="0"/>
        <w:dstrike w:val="0"/>
        <w:noProof w:val="0"/>
        <w:vanish w:val="0"/>
        <w:color w:val="049885"/>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5F508D8"/>
    <w:multiLevelType w:val="hybridMultilevel"/>
    <w:tmpl w:val="BA9EE212"/>
    <w:lvl w:ilvl="0" w:tplc="84E6E6C0">
      <w:start w:val="1"/>
      <w:numFmt w:val="decimal"/>
      <w:lvlText w:val="%1"/>
      <w:lvlJc w:val="left"/>
      <w:pPr>
        <w:ind w:left="720" w:hanging="360"/>
      </w:pPr>
      <w:rPr>
        <w:rFonts w:hint="default"/>
        <w:u w:color="00466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B8F3B04"/>
    <w:multiLevelType w:val="multilevel"/>
    <w:tmpl w:val="533223D8"/>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7" w15:restartNumberingAfterBreak="0">
    <w:nsid w:val="5E0E1143"/>
    <w:multiLevelType w:val="multilevel"/>
    <w:tmpl w:val="DC8EEF22"/>
    <w:lvl w:ilvl="0">
      <w:start w:val="1"/>
      <w:numFmt w:val="decimal"/>
      <w:lvlText w:val="%1"/>
      <w:lvlJc w:val="left"/>
      <w:pPr>
        <w:ind w:left="720" w:hanging="720"/>
      </w:pPr>
      <w:rPr>
        <w:rFonts w:hint="default"/>
        <w:b w:val="0"/>
        <w:bCs w:val="0"/>
        <w:i w:val="0"/>
        <w:iCs w:val="0"/>
        <w:caps w:val="0"/>
        <w:smallCaps w:val="0"/>
        <w:strike w:val="0"/>
        <w:dstrike w:val="0"/>
        <w:noProof w:val="0"/>
        <w:vanish w:val="0"/>
        <w:color w:val="049885"/>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04E4C64"/>
    <w:multiLevelType w:val="multilevel"/>
    <w:tmpl w:val="B098440A"/>
    <w:numStyleLink w:val="headings"/>
  </w:abstractNum>
  <w:num w:numId="1">
    <w:abstractNumId w:val="6"/>
  </w:num>
  <w:num w:numId="2">
    <w:abstractNumId w:val="5"/>
    <w:lvlOverride w:ilvl="0">
      <w:startOverride w:val="1"/>
    </w:lvlOverride>
  </w:num>
  <w:num w:numId="3">
    <w:abstractNumId w:val="14"/>
  </w:num>
  <w:num w:numId="4">
    <w:abstractNumId w:val="9"/>
  </w:num>
  <w:num w:numId="5">
    <w:abstractNumId w:val="15"/>
  </w:num>
  <w:num w:numId="6">
    <w:abstractNumId w:val="16"/>
  </w:num>
  <w:num w:numId="7">
    <w:abstractNumId w:val="8"/>
  </w:num>
  <w:num w:numId="8">
    <w:abstractNumId w:val="11"/>
  </w:num>
  <w:num w:numId="9">
    <w:abstractNumId w:val="12"/>
  </w:num>
  <w:num w:numId="10">
    <w:abstractNumId w:val="12"/>
  </w:num>
  <w:num w:numId="11">
    <w:abstractNumId w:val="12"/>
  </w:num>
  <w:num w:numId="12">
    <w:abstractNumId w:val="4"/>
  </w:num>
  <w:num w:numId="13">
    <w:abstractNumId w:val="15"/>
  </w:num>
  <w:num w:numId="14">
    <w:abstractNumId w:val="13"/>
  </w:num>
  <w:num w:numId="15">
    <w:abstractNumId w:val="5"/>
  </w:num>
  <w:num w:numId="16">
    <w:abstractNumId w:val="12"/>
  </w:num>
  <w:num w:numId="17">
    <w:abstractNumId w:val="12"/>
  </w:num>
  <w:num w:numId="18">
    <w:abstractNumId w:val="12"/>
  </w:num>
  <w:num w:numId="19">
    <w:abstractNumId w:val="15"/>
  </w:num>
  <w:num w:numId="20">
    <w:abstractNumId w:val="15"/>
  </w:num>
  <w:num w:numId="21">
    <w:abstractNumId w:val="15"/>
  </w:num>
  <w:num w:numId="22">
    <w:abstractNumId w:val="10"/>
  </w:num>
  <w:num w:numId="23">
    <w:abstractNumId w:val="10"/>
  </w:num>
  <w:num w:numId="24">
    <w:abstractNumId w:val="10"/>
  </w:num>
  <w:num w:numId="25">
    <w:abstractNumId w:val="3"/>
  </w:num>
  <w:num w:numId="26">
    <w:abstractNumId w:val="2"/>
  </w:num>
  <w:num w:numId="27">
    <w:abstractNumId w:val="1"/>
  </w:num>
  <w:num w:numId="28">
    <w:abstractNumId w:val="0"/>
  </w:num>
  <w:num w:numId="29">
    <w:abstractNumId w:val="17"/>
  </w:num>
  <w:num w:numId="30">
    <w:abstractNumId w:val="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drawingGridHorizontalSpacing w:val="110"/>
  <w:displayHorizontalDrawingGridEvery w:val="2"/>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AD7"/>
    <w:rsid w:val="002245C0"/>
    <w:rsid w:val="00236AD7"/>
    <w:rsid w:val="004B65A9"/>
    <w:rsid w:val="005059A2"/>
    <w:rsid w:val="00797BB4"/>
    <w:rsid w:val="00911947"/>
    <w:rsid w:val="00B41A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BCDCF0AF-7221-418C-B454-53432EC8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3000"/>
      <w:contextualSpacing/>
      <w:outlineLvl w:val="0"/>
    </w:pPr>
    <w:rPr>
      <w:rFonts w:ascii="Calibri" w:eastAsiaTheme="minorHAnsi" w:hAnsi="Calibri" w:cstheme="minorBidi"/>
      <w:b/>
      <w:bCs/>
      <w:color w:val="2B343A"/>
      <w:spacing w:val="5"/>
      <w:kern w:val="28"/>
      <w:sz w:val="72"/>
      <w:szCs w:val="28"/>
      <w:lang w:eastAsia="en-US"/>
    </w:rPr>
  </w:style>
  <w:style w:type="paragraph" w:styleId="Heading2">
    <w:name w:val="heading 2"/>
    <w:basedOn w:val="Normal"/>
    <w:next w:val="Normal"/>
    <w:link w:val="Heading2Char"/>
    <w:uiPriority w:val="3"/>
    <w:pPr>
      <w:pageBreakBefore/>
      <w:numPr>
        <w:numId w:val="32"/>
      </w:numPr>
      <w:spacing w:after="240" w:line="240" w:lineRule="auto"/>
      <w:outlineLvl w:val="1"/>
    </w:pPr>
    <w:rPr>
      <w:rFonts w:ascii="Calibri" w:eastAsiaTheme="minorEastAsia" w:hAnsi="Calibri"/>
      <w:bCs/>
      <w:color w:val="049885"/>
      <w:sz w:val="56"/>
      <w:szCs w:val="28"/>
      <w:lang w:eastAsia="ja-JP"/>
    </w:rPr>
  </w:style>
  <w:style w:type="paragraph" w:styleId="Heading3">
    <w:name w:val="heading 3"/>
    <w:next w:val="Normal"/>
    <w:link w:val="Heading3Char"/>
    <w:uiPriority w:val="4"/>
    <w:qFormat/>
    <w:pPr>
      <w:keepNext/>
      <w:keepLines/>
      <w:numPr>
        <w:ilvl w:val="1"/>
        <w:numId w:val="32"/>
      </w:numPr>
      <w:outlineLvl w:val="2"/>
    </w:pPr>
    <w:rPr>
      <w:rFonts w:ascii="Calibri" w:eastAsia="Times New Roman" w:hAnsi="Calibri"/>
      <w:b/>
      <w:bCs/>
      <w:color w:val="586B78"/>
      <w:sz w:val="36"/>
      <w:szCs w:val="24"/>
      <w:lang w:eastAsia="en-US"/>
    </w:rPr>
  </w:style>
  <w:style w:type="paragraph" w:styleId="Heading4">
    <w:name w:val="heading 4"/>
    <w:next w:val="Normal"/>
    <w:link w:val="Heading4Char"/>
    <w:uiPriority w:val="5"/>
    <w:qFormat/>
    <w:pPr>
      <w:keepNext/>
      <w:numPr>
        <w:ilvl w:val="2"/>
        <w:numId w:val="32"/>
      </w:numPr>
      <w:outlineLvl w:val="3"/>
    </w:pPr>
    <w:rPr>
      <w:rFonts w:ascii="Calibri" w:eastAsia="Times New Roman" w:hAnsi="Calibri"/>
      <w:b/>
      <w:bCs/>
      <w:color w:val="444444"/>
      <w:sz w:val="28"/>
      <w:szCs w:val="24"/>
      <w:lang w:eastAsia="en-US"/>
    </w:rPr>
  </w:style>
  <w:style w:type="paragraph" w:styleId="Heading5">
    <w:name w:val="heading 5"/>
    <w:basedOn w:val="Normal"/>
    <w:next w:val="Normal"/>
    <w:link w:val="Heading5Char"/>
    <w:uiPriority w:val="6"/>
    <w:pPr>
      <w:keepNext/>
      <w:keepLines/>
      <w:numPr>
        <w:ilvl w:val="3"/>
        <w:numId w:val="32"/>
      </w:numPr>
      <w:spacing w:after="0" w:line="240" w:lineRule="auto"/>
      <w:outlineLvl w:val="4"/>
    </w:pPr>
    <w:rPr>
      <w:rFonts w:ascii="Calibri" w:hAnsi="Calibri"/>
      <w:b/>
    </w:rPr>
  </w:style>
  <w:style w:type="paragraph" w:styleId="Heading6">
    <w:name w:val="heading 6"/>
    <w:basedOn w:val="Normal"/>
    <w:next w:val="Normal"/>
    <w:link w:val="Heading6Char"/>
    <w:uiPriority w:val="9"/>
    <w:qFormat/>
    <w:pPr>
      <w:keepNext/>
      <w:keepLines/>
      <w:spacing w:before="40" w:after="0"/>
      <w:outlineLvl w:val="5"/>
    </w:pPr>
    <w:rPr>
      <w:rFonts w:eastAsiaTheme="majorEastAsia"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before="120"/>
    </w:pPr>
    <w:rPr>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2B343A"/>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49885"/>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color w:val="586B78"/>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color w:val="444444"/>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color w:val="049885"/>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49885"/>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2B343A"/>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unhideWhenUsed/>
    <w:qFormat/>
    <w:rPr>
      <w:rFonts w:asciiTheme="minorHAnsi" w:hAnsiTheme="minorHAnsi"/>
      <w:color w:val="0000FF" w:themeColor="hyperlink"/>
      <w:u w:val="single"/>
    </w:rPr>
  </w:style>
  <w:style w:type="paragraph" w:styleId="ListBullet">
    <w:name w:val="List Bullet"/>
    <w:basedOn w:val="Normal"/>
    <w:uiPriority w:val="99"/>
    <w:qFormat/>
    <w:pPr>
      <w:numPr>
        <w:numId w:val="21"/>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21"/>
      </w:numPr>
      <w:spacing w:before="120" w:after="120"/>
      <w:contextualSpacing/>
    </w:pPr>
  </w:style>
  <w:style w:type="paragraph" w:styleId="ListNumber">
    <w:name w:val="List Number"/>
    <w:basedOn w:val="Normal"/>
    <w:uiPriority w:val="9"/>
    <w:qFormat/>
    <w:rsid w:val="00911947"/>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rFonts w:asciiTheme="minorHAnsi" w:hAnsiTheme="minorHAnsi"/>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asciiTheme="minorHAnsi" w:eastAsia="Calibri" w:hAnsiTheme="minorHAnsi" w:cstheme="minorBidi"/>
      <w:color w:val="000000"/>
      <w:sz w:val="22"/>
      <w:szCs w:val="22"/>
      <w:lang w:eastAsia="en-US"/>
    </w:rPr>
  </w:style>
  <w:style w:type="character" w:styleId="Emphasis">
    <w:name w:val="Emphasis"/>
    <w:basedOn w:val="DefaultParagraphFont"/>
    <w:qFormat/>
    <w:rPr>
      <w:rFonts w:asciiTheme="minorHAnsi" w:hAnsiTheme="minorHAnsi"/>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color w:val="004661"/>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 w:type="paragraph" w:customStyle="1" w:styleId="Normalsmall">
    <w:name w:val="Normal small"/>
    <w:qFormat/>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21"/>
      </w:numPr>
      <w:contextualSpacing/>
    </w:pPr>
    <w:rPr>
      <w:rFonts w:ascii="Cambria" w:hAnsi="Cambria"/>
    </w:r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styleId="Date">
    <w:name w:val="Date"/>
    <w:basedOn w:val="Normal"/>
    <w:next w:val="Normal"/>
    <w:link w:val="DateChar"/>
    <w:uiPriority w:val="99"/>
    <w:unhideWhenUsed/>
    <w:pPr>
      <w:spacing w:before="240"/>
    </w:pPr>
  </w:style>
  <w:style w:type="character" w:customStyle="1" w:styleId="DateChar">
    <w:name w:val="Date Char"/>
    <w:basedOn w:val="DefaultParagraphFont"/>
    <w:link w:val="Date"/>
    <w:uiPriority w:val="99"/>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Pr>
      <w:rFonts w:asciiTheme="minorHAnsi" w:eastAsiaTheme="majorEastAsia" w:hAnsiTheme="minorHAnsi" w:cstheme="majorBidi"/>
      <w:b/>
      <w:color w:val="243F60" w:themeColor="accent1" w:themeShade="7F"/>
      <w:sz w:val="22"/>
      <w:szCs w:val="22"/>
      <w:lang w:eastAsia="en-US"/>
    </w:rPr>
  </w:style>
  <w:style w:type="numbering" w:customStyle="1" w:styleId="headings">
    <w:name w:val="headings"/>
    <w:uiPriority w:val="99"/>
    <w:pPr>
      <w:numPr>
        <w:numId w:val="30"/>
      </w:numPr>
    </w:pPr>
  </w:style>
  <w:style w:type="character" w:customStyle="1" w:styleId="xdtextbox1">
    <w:name w:val="xdtextbox1"/>
    <w:basedOn w:val="DefaultParagraphFont"/>
    <w:rPr>
      <w:color w:val="auto"/>
      <w:bdr w:val="single" w:sz="8" w:space="1" w:color="DCDCDC" w:frame="1"/>
      <w:shd w:val="clear" w:color="auto" w:fill="FFFFFF"/>
    </w:rPr>
  </w:style>
  <w:style w:type="character" w:styleId="IntenseEmphasis">
    <w:name w:val="Intense Emphasis"/>
    <w:basedOn w:val="DefaultParagraphFont"/>
    <w:uiPriority w:val="21"/>
    <w:qFormat/>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image" Target="media/image3.jpg"/><Relationship Id="rId7" Type="http://schemas.openxmlformats.org/officeDocument/2006/relationships/settings" Target="settings.xml"/><Relationship Id="rId12" Type="http://schemas.openxmlformats.org/officeDocument/2006/relationships/hyperlink" Target="mailto:copyright@agriculture.gov.au" TargetMode="External"/><Relationship Id="rId17" Type="http://schemas.openxmlformats.org/officeDocument/2006/relationships/header" Target="header1.xml"/><Relationship Id="rId25" Type="http://schemas.openxmlformats.org/officeDocument/2006/relationships/hyperlink" Target="http://www.agriculture.gov.au/biosecurity/avm/vessels/biofouling/anti-fouling-and-inwater-cleaning-guidelines" TargetMode="External"/><Relationship Id="rId2" Type="http://schemas.openxmlformats.org/officeDocument/2006/relationships/customXml" Target="../customXml/item2.xml"/><Relationship Id="rId16" Type="http://schemas.openxmlformats.org/officeDocument/2006/relationships/hyperlink" Target="http://www.marinepests.gov.au/" TargetMode="External"/><Relationship Id="rId20" Type="http://schemas.openxmlformats.org/officeDocument/2006/relationships/hyperlink" Target="http://marinepests.gov.au/what-we-do/publications" TargetMode="External"/><Relationship Id="rId29" Type="http://schemas.openxmlformats.org/officeDocument/2006/relationships/hyperlink" Target="http://www.marinepest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image" Target="media/image6.jpg"/><Relationship Id="rId5" Type="http://schemas.openxmlformats.org/officeDocument/2006/relationships/numbering" Target="numbering.xml"/><Relationship Id="rId15" Type="http://schemas.openxmlformats.org/officeDocument/2006/relationships/hyperlink" Target="mailto:mpsc@agriculture.gov.au" TargetMode="External"/><Relationship Id="rId23" Type="http://schemas.openxmlformats.org/officeDocument/2006/relationships/image" Target="media/image5.jpg"/><Relationship Id="rId28" Type="http://schemas.openxmlformats.org/officeDocument/2006/relationships/hyperlink" Target="http://www.marinepests.gov.au/report"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rinepests.gov.au/Pages/map/American-slipper-limpet.aspx" TargetMode="External"/><Relationship Id="rId22" Type="http://schemas.openxmlformats.org/officeDocument/2006/relationships/image" Target="media/image4.jpg"/><Relationship Id="rId27" Type="http://schemas.openxmlformats.org/officeDocument/2006/relationships/image" Target="media/image8.jpg"/><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EC08E60BE7924E9A96C3C9A8066047" ma:contentTypeVersion="1" ma:contentTypeDescription="Create a new document." ma:contentTypeScope="" ma:versionID="f1ff5b631531589d86dc646254503eee">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2EC3F-1AF0-473C-8505-8C6E3A0B76C5}"/>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5BA0457A-0C7E-4FBE-9210-5808EBFFB6E0}"/>
</file>

<file path=docProps/app.xml><?xml version="1.0" encoding="utf-8"?>
<Properties xmlns="http://schemas.openxmlformats.org/officeDocument/2006/extended-properties" xmlns:vt="http://schemas.openxmlformats.org/officeDocument/2006/docPropsVTypes">
  <Template>Normal.dotm</Template>
  <TotalTime>147</TotalTime>
  <Pages>25</Pages>
  <Words>2347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National biofouling guidelines for commercial fishing vessels</vt:lpstr>
    </vt:vector>
  </TitlesOfParts>
  <Company>Department of Agriculture and Water Resources</Company>
  <LinksUpToDate>false</LinksUpToDate>
  <CharactersWithSpaces>15698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biofouling guidelines for commercial fishing vessels</dc:title>
  <dc:creator>Department of Agriculture and Water Resources</dc:creator>
  <cp:lastModifiedBy>Caldwell, Louise</cp:lastModifiedBy>
  <cp:revision>16</cp:revision>
  <cp:lastPrinted>2018-12-19T04:27:00Z</cp:lastPrinted>
  <dcterms:created xsi:type="dcterms:W3CDTF">2018-11-26T23:17:00Z</dcterms:created>
  <dcterms:modified xsi:type="dcterms:W3CDTF">2018-12-19T04:29:00Z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0x010100A6EC08E60BE7924E9A96C3C9A8066047</vt:lpwstr>
  </property>
</Properties>
</file>